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8B" w:rsidRDefault="00F8018B">
      <w:pPr>
        <w:spacing w:line="600" w:lineRule="exact"/>
        <w:jc w:val="left"/>
        <w:outlineLvl w:val="0"/>
        <w:rPr>
          <w:rFonts w:ascii="方正小标宋简体" w:eastAsia="方正小标宋简体" w:hAnsi="宋体"/>
          <w:color w:val="000000"/>
          <w:sz w:val="30"/>
          <w:szCs w:val="30"/>
        </w:rPr>
      </w:pPr>
      <w:bookmarkStart w:id="0" w:name="_Toc15306267"/>
    </w:p>
    <w:p w:rsidR="00F8018B" w:rsidRDefault="00F8018B">
      <w:pPr>
        <w:spacing w:line="600" w:lineRule="exact"/>
        <w:jc w:val="center"/>
        <w:outlineLvl w:val="0"/>
        <w:rPr>
          <w:rFonts w:ascii="方正小标宋简体" w:eastAsia="方正小标宋简体" w:hAnsi="宋体"/>
          <w:color w:val="000000"/>
          <w:sz w:val="72"/>
          <w:szCs w:val="72"/>
        </w:rPr>
      </w:pPr>
    </w:p>
    <w:p w:rsidR="00F8018B" w:rsidRDefault="00F8018B">
      <w:pPr>
        <w:spacing w:line="600" w:lineRule="exact"/>
        <w:jc w:val="center"/>
        <w:outlineLvl w:val="0"/>
        <w:rPr>
          <w:rFonts w:ascii="方正小标宋简体" w:eastAsia="方正小标宋简体" w:hAnsi="宋体"/>
          <w:color w:val="000000"/>
          <w:sz w:val="72"/>
          <w:szCs w:val="72"/>
        </w:rPr>
      </w:pPr>
    </w:p>
    <w:p w:rsidR="00F8018B" w:rsidRDefault="00F8018B">
      <w:pPr>
        <w:spacing w:line="600" w:lineRule="exact"/>
        <w:jc w:val="center"/>
        <w:outlineLvl w:val="0"/>
        <w:rPr>
          <w:rFonts w:ascii="方正小标宋简体" w:eastAsia="方正小标宋简体" w:hAnsi="宋体"/>
          <w:color w:val="000000"/>
          <w:sz w:val="72"/>
          <w:szCs w:val="72"/>
        </w:rPr>
      </w:pPr>
    </w:p>
    <w:p w:rsidR="00F8018B" w:rsidRDefault="00E11388">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r>
        <w:rPr>
          <w:rFonts w:ascii="黑体" w:eastAsia="黑体" w:hAnsi="黑体"/>
          <w:sz w:val="72"/>
          <w:szCs w:val="72"/>
        </w:rPr>
        <w:t>20</w:t>
      </w:r>
      <w:r>
        <w:rPr>
          <w:rFonts w:ascii="黑体" w:eastAsia="黑体" w:hAnsi="黑体" w:hint="eastAsia"/>
          <w:sz w:val="72"/>
          <w:szCs w:val="72"/>
        </w:rPr>
        <w:t>2</w:t>
      </w:r>
      <w:r w:rsidR="0067234C">
        <w:rPr>
          <w:rFonts w:ascii="黑体" w:eastAsia="黑体" w:hAnsi="黑体" w:hint="eastAsia"/>
          <w:sz w:val="72"/>
          <w:szCs w:val="72"/>
        </w:rPr>
        <w:t>2</w:t>
      </w:r>
      <w:r>
        <w:rPr>
          <w:rFonts w:ascii="方正小标宋简体" w:eastAsia="方正小标宋简体" w:hAnsi="宋体" w:hint="eastAsia"/>
          <w:sz w:val="72"/>
          <w:szCs w:val="72"/>
        </w:rPr>
        <w:t>年度</w:t>
      </w:r>
      <w:bookmarkEnd w:id="1"/>
      <w:bookmarkEnd w:id="2"/>
      <w:bookmarkEnd w:id="3"/>
      <w:bookmarkEnd w:id="4"/>
      <w:bookmarkEnd w:id="5"/>
    </w:p>
    <w:p w:rsidR="00F8018B" w:rsidRDefault="00E11388">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77426"/>
      <w:bookmarkStart w:id="8" w:name="_Toc15396476"/>
      <w:bookmarkStart w:id="9" w:name="_Toc15377194"/>
      <w:bookmarkStart w:id="10" w:name="_Toc15396598"/>
      <w:r>
        <w:rPr>
          <w:rFonts w:ascii="方正小标宋简体" w:eastAsia="方正小标宋简体" w:hAnsi="宋体" w:hint="eastAsia"/>
          <w:sz w:val="72"/>
          <w:szCs w:val="72"/>
        </w:rPr>
        <w:t>四川</w:t>
      </w:r>
      <w:bookmarkStart w:id="11" w:name="_Toc15306268"/>
      <w:bookmarkEnd w:id="0"/>
      <w:r>
        <w:rPr>
          <w:rFonts w:ascii="方正小标宋简体" w:eastAsia="方正小标宋简体" w:hAnsi="宋体" w:hint="eastAsia"/>
          <w:sz w:val="72"/>
          <w:szCs w:val="72"/>
        </w:rPr>
        <w:t>省政法研究所</w:t>
      </w:r>
    </w:p>
    <w:p w:rsidR="00F8018B" w:rsidRDefault="00E11388">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单位决算</w:t>
      </w:r>
      <w:bookmarkEnd w:id="6"/>
      <w:bookmarkEnd w:id="7"/>
      <w:bookmarkEnd w:id="8"/>
      <w:bookmarkEnd w:id="9"/>
      <w:bookmarkEnd w:id="10"/>
      <w:bookmarkEnd w:id="11"/>
    </w:p>
    <w:p w:rsidR="00F8018B" w:rsidRDefault="00E1138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F8018B" w:rsidRDefault="00F8018B">
      <w:pPr>
        <w:widowControl/>
        <w:jc w:val="center"/>
        <w:rPr>
          <w:rFonts w:ascii="黑体" w:eastAsia="黑体" w:hAnsi="黑体" w:cstheme="minorBidi"/>
          <w:sz w:val="28"/>
          <w:szCs w:val="28"/>
        </w:rPr>
      </w:pPr>
    </w:p>
    <w:p w:rsidR="00F8018B" w:rsidRDefault="00E11388">
      <w:pPr>
        <w:pStyle w:val="10"/>
      </w:pPr>
      <w:r>
        <w:rPr>
          <w:rFonts w:hint="eastAsia"/>
        </w:rPr>
        <w:t>公开时间：202</w:t>
      </w:r>
      <w:r w:rsidR="0067234C">
        <w:rPr>
          <w:rFonts w:hint="eastAsia"/>
        </w:rPr>
        <w:t>3</w:t>
      </w:r>
      <w:r>
        <w:rPr>
          <w:rFonts w:hint="eastAsia"/>
        </w:rPr>
        <w:t>年9月</w:t>
      </w:r>
      <w:r w:rsidR="0067234C">
        <w:rPr>
          <w:rFonts w:hint="eastAsia"/>
        </w:rPr>
        <w:t>5</w:t>
      </w:r>
      <w:r>
        <w:rPr>
          <w:rFonts w:hint="eastAsia"/>
        </w:rPr>
        <w:t>日</w:t>
      </w:r>
    </w:p>
    <w:p w:rsidR="00F8018B" w:rsidRDefault="00F8018B"/>
    <w:p w:rsidR="00F8018B" w:rsidRDefault="00E1138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rPr>
        <w:tab/>
        <w:t>4</w:t>
      </w:r>
    </w:p>
    <w:p w:rsidR="00F8018B" w:rsidRDefault="00E11388">
      <w:pPr>
        <w:pStyle w:val="20"/>
        <w:adjustRightInd w:val="0"/>
        <w:snapToGrid w:val="0"/>
        <w:spacing w:line="440" w:lineRule="exact"/>
        <w:jc w:val="left"/>
        <w:rPr>
          <w:sz w:val="24"/>
        </w:rPr>
      </w:pPr>
      <w:r>
        <w:rPr>
          <w:rFonts w:hint="eastAsia"/>
          <w:sz w:val="24"/>
        </w:rPr>
        <w:t>一、</w:t>
      </w:r>
      <w:r w:rsidR="00A2283C">
        <w:rPr>
          <w:rFonts w:hint="eastAsia"/>
          <w:sz w:val="24"/>
        </w:rPr>
        <w:t>主要职责</w:t>
      </w:r>
      <w:r>
        <w:rPr>
          <w:rFonts w:hint="eastAsia"/>
          <w:sz w:val="24"/>
        </w:rPr>
        <w:tab/>
        <w:t>4</w:t>
      </w:r>
    </w:p>
    <w:p w:rsidR="00F8018B" w:rsidRDefault="00E1138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w:t>
      </w:r>
      <w:r w:rsidR="00A624DE">
        <w:rPr>
          <w:rFonts w:asciiTheme="minorEastAsia" w:eastAsiaTheme="minorEastAsia" w:hAnsiTheme="minorEastAsia" w:cstheme="minorEastAsia" w:hint="eastAsia"/>
          <w:sz w:val="24"/>
        </w:rPr>
        <w:t>机构设置</w:t>
      </w:r>
      <w:r>
        <w:rPr>
          <w:rFonts w:hint="eastAsia"/>
          <w:sz w:val="24"/>
        </w:rPr>
        <w:tab/>
        <w:t>4</w:t>
      </w:r>
    </w:p>
    <w:p w:rsidR="00F8018B" w:rsidRPr="008B7B52" w:rsidRDefault="00E11388">
      <w:pPr>
        <w:pStyle w:val="10"/>
        <w:adjustRightInd w:val="0"/>
        <w:snapToGrid w:val="0"/>
        <w:spacing w:before="0" w:line="440" w:lineRule="exact"/>
        <w:jc w:val="left"/>
        <w:rPr>
          <w:rFonts w:ascii="Times New Roman" w:eastAsia="宋体" w:hAnsi="Times New Roman"/>
          <w:sz w:val="24"/>
          <w:szCs w:val="24"/>
        </w:rPr>
      </w:pPr>
      <w:r>
        <w:rPr>
          <w:rFonts w:hint="eastAsia"/>
          <w:sz w:val="24"/>
        </w:rPr>
        <w:t>第二部分 202</w:t>
      </w:r>
      <w:r w:rsidR="00A624DE">
        <w:rPr>
          <w:rFonts w:hint="eastAsia"/>
          <w:sz w:val="24"/>
        </w:rPr>
        <w:t>2</w:t>
      </w:r>
      <w:r>
        <w:rPr>
          <w:rFonts w:hint="eastAsia"/>
          <w:sz w:val="24"/>
        </w:rPr>
        <w:t>年度单位决算情况说明</w:t>
      </w:r>
      <w:r>
        <w:rPr>
          <w:rFonts w:hint="eastAsia"/>
          <w:sz w:val="24"/>
        </w:rPr>
        <w:tab/>
      </w:r>
      <w:r w:rsidRPr="008B7B52">
        <w:rPr>
          <w:rFonts w:ascii="Times New Roman" w:eastAsia="宋体" w:hAnsi="Times New Roman" w:hint="eastAsia"/>
          <w:sz w:val="24"/>
          <w:szCs w:val="24"/>
        </w:rPr>
        <w:t>5</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rFonts w:hint="eastAsia"/>
          <w:sz w:val="24"/>
        </w:rPr>
        <w:tab/>
        <w:t>5</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hint="eastAsia"/>
          <w:sz w:val="24"/>
        </w:rPr>
        <w:tab/>
        <w:t>5</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rFonts w:hint="eastAsia"/>
          <w:sz w:val="24"/>
        </w:rPr>
        <w:tab/>
        <w:t>6</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hint="eastAsia"/>
          <w:sz w:val="24"/>
        </w:rPr>
        <w:tab/>
        <w:t>6</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hint="eastAsia"/>
          <w:sz w:val="24"/>
        </w:rPr>
        <w:tab/>
        <w:t>7</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hint="eastAsia"/>
          <w:sz w:val="24"/>
        </w:rPr>
        <w:tab/>
        <w:t>10</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七、</w:t>
      </w:r>
      <w:r w:rsidR="000060BF">
        <w:rPr>
          <w:rFonts w:hint="eastAsia"/>
          <w:sz w:val="24"/>
        </w:rPr>
        <w:t>财政拨款</w:t>
      </w:r>
      <w:r>
        <w:rPr>
          <w:sz w:val="24"/>
        </w:rPr>
        <w:t>“</w:t>
      </w:r>
      <w:r>
        <w:rPr>
          <w:rFonts w:hint="eastAsia"/>
          <w:sz w:val="24"/>
        </w:rPr>
        <w:t>三公”经费支出决算情况说明</w:t>
      </w:r>
      <w:r>
        <w:rPr>
          <w:rFonts w:hint="eastAsia"/>
          <w:sz w:val="24"/>
        </w:rPr>
        <w:tab/>
        <w:t>10</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rFonts w:hint="eastAsia"/>
          <w:sz w:val="24"/>
        </w:rPr>
        <w:tab/>
        <w:t>11</w:t>
      </w:r>
    </w:p>
    <w:p w:rsidR="00F8018B" w:rsidRDefault="00E11388">
      <w:pPr>
        <w:pStyle w:val="20"/>
        <w:adjustRightInd w:val="0"/>
        <w:snapToGrid w:val="0"/>
        <w:spacing w:line="440" w:lineRule="exact"/>
        <w:jc w:val="left"/>
        <w:rPr>
          <w:sz w:val="24"/>
        </w:rPr>
      </w:pPr>
      <w:r>
        <w:rPr>
          <w:rFonts w:hint="eastAsia"/>
          <w:sz w:val="24"/>
        </w:rPr>
        <w:t>九、国有资本经营预算支出决算情况说明</w:t>
      </w:r>
      <w:r>
        <w:rPr>
          <w:rFonts w:hint="eastAsia"/>
          <w:sz w:val="24"/>
        </w:rPr>
        <w:tab/>
        <w:t>12</w:t>
      </w:r>
    </w:p>
    <w:p w:rsidR="00F8018B" w:rsidRDefault="00E11388">
      <w:pPr>
        <w:pStyle w:val="20"/>
        <w:adjustRightInd w:val="0"/>
        <w:snapToGrid w:val="0"/>
        <w:spacing w:line="440" w:lineRule="exact"/>
        <w:jc w:val="left"/>
        <w:rPr>
          <w:sz w:val="24"/>
        </w:rPr>
      </w:pPr>
      <w:r>
        <w:rPr>
          <w:rFonts w:hint="eastAsia"/>
          <w:sz w:val="24"/>
        </w:rPr>
        <w:t>十、其他重要事项的情况说明</w:t>
      </w:r>
      <w:r>
        <w:rPr>
          <w:rFonts w:hint="eastAsia"/>
          <w:sz w:val="24"/>
        </w:rPr>
        <w:tab/>
        <w:t>12</w:t>
      </w:r>
    </w:p>
    <w:p w:rsidR="00F8018B" w:rsidRDefault="00E1138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r>
      <w:r w:rsidRPr="008B7B52">
        <w:rPr>
          <w:rFonts w:ascii="Times New Roman" w:eastAsia="宋体" w:hAnsi="Times New Roman" w:hint="eastAsia"/>
          <w:sz w:val="24"/>
          <w:szCs w:val="24"/>
        </w:rPr>
        <w:t>1</w:t>
      </w:r>
      <w:r w:rsidR="00D07FF9">
        <w:rPr>
          <w:rFonts w:ascii="Times New Roman" w:eastAsia="宋体" w:hAnsi="Times New Roman" w:hint="eastAsia"/>
          <w:sz w:val="24"/>
          <w:szCs w:val="24"/>
        </w:rPr>
        <w:t>4</w:t>
      </w:r>
    </w:p>
    <w:p w:rsidR="00F8018B" w:rsidRDefault="00E1138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r>
      <w:r w:rsidR="00D07FF9">
        <w:rPr>
          <w:rFonts w:ascii="Times New Roman" w:eastAsia="宋体" w:hAnsi="Times New Roman" w:hint="eastAsia"/>
          <w:sz w:val="24"/>
          <w:szCs w:val="24"/>
        </w:rPr>
        <w:t>16</w:t>
      </w:r>
    </w:p>
    <w:p w:rsidR="00F8018B" w:rsidRDefault="00E1138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ab/>
      </w:r>
      <w:r w:rsidRPr="008B7B52">
        <w:rPr>
          <w:rFonts w:ascii="Times New Roman" w:eastAsia="宋体" w:hAnsi="Times New Roman" w:hint="eastAsia"/>
          <w:sz w:val="24"/>
          <w:szCs w:val="24"/>
        </w:rPr>
        <w:t>1</w:t>
      </w:r>
      <w:r w:rsidR="00D07FF9">
        <w:rPr>
          <w:rFonts w:ascii="Times New Roman" w:eastAsia="宋体" w:hAnsi="Times New Roman" w:hint="eastAsia"/>
          <w:sz w:val="24"/>
          <w:szCs w:val="24"/>
        </w:rPr>
        <w:t>7</w:t>
      </w:r>
    </w:p>
    <w:p w:rsidR="00F8018B" w:rsidRDefault="00E11388">
      <w:pPr>
        <w:pStyle w:val="20"/>
        <w:adjustRightInd w:val="0"/>
        <w:snapToGrid w:val="0"/>
        <w:spacing w:line="440" w:lineRule="exact"/>
        <w:jc w:val="left"/>
        <w:rPr>
          <w:sz w:val="24"/>
        </w:rPr>
      </w:pPr>
      <w:r>
        <w:rPr>
          <w:rFonts w:hint="eastAsia"/>
          <w:sz w:val="24"/>
        </w:rPr>
        <w:t>一、收入支出决算总表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二、收入决算表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三、支出决算表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四、财政拨款收入支出决算总表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五、财政拨款支出决算明细表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六、一般公共预算财政拨款支出决算表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七、一般公共预算财政拨款支出决算明细表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八、一般公共预算财政拨款基本支出决算</w:t>
      </w:r>
      <w:r w:rsidR="000060BF">
        <w:rPr>
          <w:rFonts w:hint="eastAsia"/>
          <w:sz w:val="24"/>
        </w:rPr>
        <w:t>明细</w:t>
      </w:r>
      <w:r>
        <w:rPr>
          <w:rFonts w:hint="eastAsia"/>
          <w:sz w:val="24"/>
        </w:rPr>
        <w:t>表</w:t>
      </w:r>
      <w:r>
        <w:rPr>
          <w:rFonts w:hint="eastAsia"/>
          <w:sz w:val="24"/>
        </w:rPr>
        <w:tab/>
      </w:r>
      <w:r w:rsidR="00D07FF9" w:rsidRPr="008B7B52">
        <w:rPr>
          <w:rFonts w:hint="eastAsia"/>
          <w:sz w:val="24"/>
        </w:rPr>
        <w:t>1</w:t>
      </w:r>
      <w:r w:rsidR="00D07FF9">
        <w:rPr>
          <w:rFonts w:hint="eastAsia"/>
          <w:sz w:val="24"/>
        </w:rPr>
        <w:t>7</w:t>
      </w:r>
    </w:p>
    <w:p w:rsidR="00F8018B" w:rsidRDefault="00E11388">
      <w:pPr>
        <w:pStyle w:val="20"/>
        <w:adjustRightInd w:val="0"/>
        <w:snapToGrid w:val="0"/>
        <w:spacing w:line="440" w:lineRule="exact"/>
        <w:jc w:val="left"/>
        <w:rPr>
          <w:sz w:val="24"/>
        </w:rPr>
      </w:pPr>
      <w:r>
        <w:rPr>
          <w:rFonts w:hint="eastAsia"/>
          <w:sz w:val="24"/>
        </w:rPr>
        <w:t>九、一般公共预算财政拨款项目支出决算表</w:t>
      </w:r>
      <w:r>
        <w:rPr>
          <w:rFonts w:hint="eastAsia"/>
          <w:sz w:val="24"/>
        </w:rPr>
        <w:tab/>
      </w:r>
      <w:r w:rsidR="00D07FF9" w:rsidRPr="008B7B52">
        <w:rPr>
          <w:rFonts w:hint="eastAsia"/>
          <w:sz w:val="24"/>
        </w:rPr>
        <w:t>1</w:t>
      </w:r>
      <w:r w:rsidR="00D07FF9">
        <w:rPr>
          <w:rFonts w:hint="eastAsia"/>
          <w:sz w:val="24"/>
        </w:rPr>
        <w:t>7</w:t>
      </w:r>
    </w:p>
    <w:p w:rsidR="00A44AA8" w:rsidRDefault="00A44AA8" w:rsidP="00A44AA8">
      <w:pPr>
        <w:pStyle w:val="20"/>
        <w:adjustRightInd w:val="0"/>
        <w:snapToGrid w:val="0"/>
        <w:spacing w:line="440" w:lineRule="exact"/>
        <w:jc w:val="left"/>
        <w:rPr>
          <w:sz w:val="24"/>
        </w:rPr>
      </w:pPr>
      <w:r>
        <w:rPr>
          <w:rFonts w:hint="eastAsia"/>
          <w:sz w:val="24"/>
        </w:rPr>
        <w:lastRenderedPageBreak/>
        <w:t>十、政府性基金预算财政拨款收入支出决算表</w:t>
      </w:r>
      <w:r>
        <w:rPr>
          <w:rFonts w:hint="eastAsia"/>
          <w:sz w:val="24"/>
        </w:rPr>
        <w:tab/>
      </w:r>
      <w:r w:rsidR="00D07FF9" w:rsidRPr="008B7B52">
        <w:rPr>
          <w:rFonts w:hint="eastAsia"/>
          <w:sz w:val="24"/>
        </w:rPr>
        <w:t>1</w:t>
      </w:r>
      <w:r w:rsidR="00D07FF9">
        <w:rPr>
          <w:rFonts w:hint="eastAsia"/>
          <w:sz w:val="24"/>
        </w:rPr>
        <w:t>7</w:t>
      </w:r>
    </w:p>
    <w:p w:rsidR="00A44AA8" w:rsidRDefault="00A44AA8" w:rsidP="00A44AA8">
      <w:pPr>
        <w:pStyle w:val="20"/>
        <w:adjustRightInd w:val="0"/>
        <w:snapToGrid w:val="0"/>
        <w:spacing w:line="440" w:lineRule="exact"/>
        <w:jc w:val="left"/>
        <w:rPr>
          <w:sz w:val="24"/>
        </w:rPr>
      </w:pPr>
      <w:r>
        <w:rPr>
          <w:rFonts w:hint="eastAsia"/>
          <w:sz w:val="24"/>
        </w:rPr>
        <w:t>十</w:t>
      </w:r>
      <w:r w:rsidR="000060BF">
        <w:rPr>
          <w:rFonts w:hint="eastAsia"/>
          <w:sz w:val="24"/>
        </w:rPr>
        <w:t>一</w:t>
      </w:r>
      <w:r>
        <w:rPr>
          <w:rFonts w:hint="eastAsia"/>
          <w:sz w:val="24"/>
        </w:rPr>
        <w:t>、国有资本经营预算财政拨款收入支出决算表</w:t>
      </w:r>
      <w:r>
        <w:rPr>
          <w:rFonts w:hint="eastAsia"/>
          <w:sz w:val="24"/>
        </w:rPr>
        <w:tab/>
      </w:r>
      <w:r w:rsidR="00D07FF9" w:rsidRPr="008B7B52">
        <w:rPr>
          <w:rFonts w:hint="eastAsia"/>
          <w:sz w:val="24"/>
        </w:rPr>
        <w:t>1</w:t>
      </w:r>
      <w:r w:rsidR="00D07FF9">
        <w:rPr>
          <w:rFonts w:hint="eastAsia"/>
          <w:sz w:val="24"/>
        </w:rPr>
        <w:t>7</w:t>
      </w:r>
    </w:p>
    <w:p w:rsidR="00A44AA8" w:rsidRDefault="00A44AA8" w:rsidP="00A44AA8">
      <w:pPr>
        <w:pStyle w:val="20"/>
        <w:adjustRightInd w:val="0"/>
        <w:snapToGrid w:val="0"/>
        <w:spacing w:line="440" w:lineRule="exact"/>
        <w:jc w:val="left"/>
        <w:rPr>
          <w:sz w:val="24"/>
        </w:rPr>
      </w:pPr>
      <w:r>
        <w:rPr>
          <w:rFonts w:hint="eastAsia"/>
          <w:sz w:val="24"/>
        </w:rPr>
        <w:t>十</w:t>
      </w:r>
      <w:r w:rsidR="000060BF">
        <w:rPr>
          <w:rFonts w:hint="eastAsia"/>
          <w:sz w:val="24"/>
        </w:rPr>
        <w:t>二</w:t>
      </w:r>
      <w:r>
        <w:rPr>
          <w:rFonts w:hint="eastAsia"/>
          <w:sz w:val="24"/>
        </w:rPr>
        <w:t>、国有资本经营预算财政拨款支出决算表</w:t>
      </w:r>
      <w:r>
        <w:rPr>
          <w:rFonts w:hint="eastAsia"/>
          <w:sz w:val="24"/>
        </w:rPr>
        <w:tab/>
      </w:r>
      <w:r w:rsidR="00D07FF9" w:rsidRPr="008B7B52">
        <w:rPr>
          <w:rFonts w:hint="eastAsia"/>
          <w:sz w:val="24"/>
        </w:rPr>
        <w:t>1</w:t>
      </w:r>
      <w:r w:rsidR="00D07FF9">
        <w:rPr>
          <w:rFonts w:hint="eastAsia"/>
          <w:sz w:val="24"/>
        </w:rPr>
        <w:t>7</w:t>
      </w:r>
    </w:p>
    <w:p w:rsidR="00A44AA8" w:rsidRDefault="00A44AA8" w:rsidP="00A44AA8">
      <w:pPr>
        <w:pStyle w:val="20"/>
        <w:adjustRightInd w:val="0"/>
        <w:snapToGrid w:val="0"/>
        <w:spacing w:line="440" w:lineRule="exact"/>
        <w:jc w:val="left"/>
        <w:rPr>
          <w:sz w:val="24"/>
        </w:rPr>
      </w:pPr>
      <w:r>
        <w:rPr>
          <w:rFonts w:hint="eastAsia"/>
          <w:sz w:val="24"/>
        </w:rPr>
        <w:t>十</w:t>
      </w:r>
      <w:r w:rsidR="000060BF">
        <w:rPr>
          <w:rFonts w:hint="eastAsia"/>
          <w:sz w:val="24"/>
        </w:rPr>
        <w:t>三</w:t>
      </w:r>
      <w:r>
        <w:rPr>
          <w:rFonts w:hint="eastAsia"/>
          <w:sz w:val="24"/>
        </w:rPr>
        <w:t>、财政拨款“三公”经费支出决算表</w:t>
      </w:r>
      <w:r>
        <w:rPr>
          <w:rFonts w:hint="eastAsia"/>
          <w:sz w:val="24"/>
        </w:rPr>
        <w:tab/>
      </w:r>
      <w:r w:rsidR="00D07FF9" w:rsidRPr="008B7B52">
        <w:rPr>
          <w:rFonts w:hint="eastAsia"/>
          <w:sz w:val="24"/>
        </w:rPr>
        <w:t>1</w:t>
      </w:r>
      <w:r w:rsidR="00D07FF9">
        <w:rPr>
          <w:rFonts w:hint="eastAsia"/>
          <w:sz w:val="24"/>
        </w:rPr>
        <w:t>7</w:t>
      </w:r>
    </w:p>
    <w:p w:rsidR="00F8018B" w:rsidRPr="00A44AA8" w:rsidRDefault="00F8018B">
      <w:pPr>
        <w:widowControl/>
        <w:adjustRightInd w:val="0"/>
        <w:snapToGrid w:val="0"/>
        <w:spacing w:line="440" w:lineRule="exact"/>
        <w:ind w:firstLineChars="550" w:firstLine="1320"/>
        <w:jc w:val="left"/>
        <w:rPr>
          <w:rFonts w:ascii="仿宋" w:eastAsia="仿宋" w:hAnsi="仿宋"/>
          <w:sz w:val="24"/>
          <w:highlight w:val="yellow"/>
        </w:rPr>
      </w:pPr>
    </w:p>
    <w:p w:rsidR="008B7B52" w:rsidRPr="008B7B52" w:rsidRDefault="00E11388" w:rsidP="008B7B52">
      <w:pPr>
        <w:widowControl/>
        <w:spacing w:line="440" w:lineRule="exact"/>
        <w:jc w:val="center"/>
        <w:rPr>
          <w:rFonts w:ascii="黑体" w:eastAsia="黑体" w:hAnsi="黑体"/>
          <w:kern w:val="44"/>
          <w:sz w:val="44"/>
          <w:szCs w:val="44"/>
        </w:rPr>
      </w:pPr>
      <w:bookmarkStart w:id="12" w:name="_Toc15377196"/>
      <w:bookmarkStart w:id="13" w:name="_Toc15396599"/>
      <w:r>
        <w:rPr>
          <w:rFonts w:ascii="仿宋" w:eastAsia="仿宋" w:hAnsi="仿宋"/>
          <w:b/>
          <w:sz w:val="24"/>
        </w:rPr>
        <w:br w:type="page"/>
      </w:r>
      <w:r w:rsidRPr="008B7B52">
        <w:rPr>
          <w:rFonts w:ascii="黑体" w:eastAsia="黑体" w:hAnsi="黑体" w:hint="eastAsia"/>
          <w:kern w:val="44"/>
          <w:sz w:val="44"/>
          <w:szCs w:val="44"/>
        </w:rPr>
        <w:lastRenderedPageBreak/>
        <w:t>第一部分 单位概况</w:t>
      </w:r>
      <w:bookmarkStart w:id="14" w:name="_Toc15396600"/>
      <w:bookmarkStart w:id="15" w:name="_Toc15377197"/>
      <w:bookmarkEnd w:id="12"/>
      <w:bookmarkEnd w:id="13"/>
    </w:p>
    <w:p w:rsidR="008B7B52" w:rsidRPr="008B7B52" w:rsidRDefault="008B7B52" w:rsidP="008B7B52">
      <w:pPr>
        <w:widowControl/>
        <w:spacing w:line="440" w:lineRule="exact"/>
        <w:ind w:firstLineChars="200" w:firstLine="640"/>
        <w:jc w:val="left"/>
        <w:rPr>
          <w:rStyle w:val="2Char"/>
          <w:rFonts w:ascii="黑体" w:eastAsia="黑体" w:hAnsi="黑体"/>
          <w:b w:val="0"/>
          <w:bCs w:val="0"/>
          <w:i/>
        </w:rPr>
      </w:pPr>
    </w:p>
    <w:p w:rsidR="008B7B52" w:rsidRDefault="008B7B52" w:rsidP="008B7B52">
      <w:pPr>
        <w:widowControl/>
        <w:spacing w:line="440" w:lineRule="exact"/>
        <w:ind w:firstLineChars="200" w:firstLine="640"/>
        <w:jc w:val="left"/>
        <w:rPr>
          <w:rStyle w:val="2Char"/>
          <w:rFonts w:ascii="黑体" w:eastAsia="黑体" w:hAnsi="黑体"/>
          <w:b w:val="0"/>
          <w:bCs w:val="0"/>
        </w:rPr>
      </w:pPr>
    </w:p>
    <w:p w:rsidR="00F8018B" w:rsidRPr="008B7B52" w:rsidRDefault="00E11388" w:rsidP="008B7B52">
      <w:pPr>
        <w:widowControl/>
        <w:spacing w:line="440" w:lineRule="exact"/>
        <w:ind w:firstLineChars="200" w:firstLine="640"/>
        <w:jc w:val="left"/>
        <w:rPr>
          <w:rStyle w:val="2Char"/>
          <w:rFonts w:ascii="仿宋" w:eastAsia="仿宋" w:hAnsi="仿宋" w:cs="Times New Roman"/>
          <w:b w:val="0"/>
          <w:kern w:val="44"/>
          <w:sz w:val="24"/>
          <w:szCs w:val="24"/>
        </w:rPr>
      </w:pPr>
      <w:r>
        <w:rPr>
          <w:rStyle w:val="2Char"/>
          <w:rFonts w:ascii="黑体" w:eastAsia="黑体" w:hAnsi="黑体" w:hint="eastAsia"/>
          <w:b w:val="0"/>
          <w:bCs w:val="0"/>
        </w:rPr>
        <w:t>一、</w:t>
      </w:r>
      <w:r w:rsidR="00A2283C">
        <w:rPr>
          <w:rStyle w:val="2Char"/>
          <w:rFonts w:ascii="黑体" w:eastAsia="黑体" w:hAnsi="黑体" w:hint="eastAsia"/>
          <w:b w:val="0"/>
          <w:bCs w:val="0"/>
        </w:rPr>
        <w:t>主要职责</w:t>
      </w:r>
    </w:p>
    <w:p w:rsidR="008B7B52" w:rsidRDefault="00E11388" w:rsidP="008B7B52">
      <w:pPr>
        <w:pStyle w:val="a0"/>
        <w:adjustRightInd w:val="0"/>
        <w:spacing w:before="93" w:line="600" w:lineRule="exact"/>
        <w:ind w:firstLineChars="200" w:firstLine="640"/>
        <w:rPr>
          <w:rFonts w:hAnsi="??" w:cs="宋体" w:hint="eastAsia"/>
          <w:sz w:val="32"/>
        </w:rPr>
      </w:pPr>
      <w:r>
        <w:rPr>
          <w:rFonts w:hAnsi="??" w:cs="宋体" w:hint="eastAsia"/>
          <w:sz w:val="32"/>
        </w:rPr>
        <w:t xml:space="preserve">研究新的历史时期我省维护稳定、加强政法队伍建设、社会治安综合治理、反腐败和严厉打击各种犯罪、司法改革、司法监督等遇到的新情况、新问题，提出对策建议；研究司法实践中的具体法律适用问题，积极提出完善立法建议；及时推广交流我省政法战线的研究成果。  </w:t>
      </w:r>
    </w:p>
    <w:p w:rsidR="00A44AA8" w:rsidRPr="00936F0F" w:rsidRDefault="00E11388" w:rsidP="00A44AA8">
      <w:pPr>
        <w:pStyle w:val="2"/>
        <w:ind w:firstLineChars="200" w:firstLine="643"/>
        <w:rPr>
          <w:rStyle w:val="2Char"/>
          <w:rFonts w:ascii="黑体" w:eastAsia="黑体" w:hAnsi="黑体"/>
          <w:b/>
          <w:bCs/>
        </w:rPr>
      </w:pPr>
      <w:r>
        <w:rPr>
          <w:rFonts w:ascii="黑体" w:eastAsia="黑体" w:hAnsi="黑体" w:hint="eastAsia"/>
        </w:rPr>
        <w:t>二、</w:t>
      </w:r>
      <w:bookmarkEnd w:id="14"/>
      <w:bookmarkEnd w:id="15"/>
      <w:r w:rsidR="00A44AA8" w:rsidRPr="00936F0F">
        <w:rPr>
          <w:rStyle w:val="2Char"/>
          <w:rFonts w:ascii="黑体" w:eastAsia="黑体" w:hAnsi="黑体" w:hint="eastAsia"/>
        </w:rPr>
        <w:t>机构设置</w:t>
      </w:r>
    </w:p>
    <w:p w:rsidR="00A44AA8" w:rsidRDefault="00A44AA8" w:rsidP="00A44AA8">
      <w:pPr>
        <w:pStyle w:val="a0"/>
        <w:adjustRightInd w:val="0"/>
        <w:spacing w:before="93" w:line="600" w:lineRule="exact"/>
        <w:ind w:firstLineChars="200" w:firstLine="640"/>
        <w:rPr>
          <w:rFonts w:hAnsi="??" w:cs="宋体" w:hint="eastAsia"/>
          <w:sz w:val="32"/>
        </w:rPr>
      </w:pPr>
      <w:r w:rsidRPr="00A44AA8">
        <w:rPr>
          <w:rFonts w:hAnsi="??" w:cs="宋体" w:hint="eastAsia"/>
          <w:sz w:val="32"/>
        </w:rPr>
        <w:t>四川省政法研究所</w:t>
      </w:r>
      <w:r>
        <w:rPr>
          <w:rFonts w:hAnsi="??" w:cs="宋体" w:hint="eastAsia"/>
          <w:sz w:val="32"/>
        </w:rPr>
        <w:t>为</w:t>
      </w:r>
      <w:r w:rsidRPr="00A44AA8">
        <w:rPr>
          <w:rFonts w:hAnsi="??" w:cs="宋体" w:hint="eastAsia"/>
          <w:sz w:val="32"/>
        </w:rPr>
        <w:t>省财政二级预算单位，单位性质为参照公务员法管理的事业单位，主管部门为中共四川省委政法委。</w:t>
      </w:r>
    </w:p>
    <w:p w:rsidR="007913A1" w:rsidRDefault="007913A1" w:rsidP="00A44AA8">
      <w:pPr>
        <w:pStyle w:val="a0"/>
        <w:adjustRightInd w:val="0"/>
        <w:spacing w:before="93" w:line="600" w:lineRule="exact"/>
        <w:ind w:firstLineChars="200" w:firstLine="640"/>
        <w:rPr>
          <w:rFonts w:hAnsi="??" w:cs="宋体" w:hint="eastAsia"/>
          <w:sz w:val="32"/>
        </w:rPr>
      </w:pPr>
    </w:p>
    <w:p w:rsidR="007913A1" w:rsidRDefault="007913A1" w:rsidP="00A44AA8">
      <w:pPr>
        <w:pStyle w:val="a0"/>
        <w:adjustRightInd w:val="0"/>
        <w:spacing w:before="93" w:line="600" w:lineRule="exact"/>
        <w:ind w:firstLineChars="200" w:firstLine="640"/>
        <w:rPr>
          <w:rFonts w:hAnsi="??" w:cs="宋体" w:hint="eastAsia"/>
          <w:sz w:val="32"/>
        </w:rPr>
      </w:pPr>
    </w:p>
    <w:p w:rsidR="007913A1" w:rsidRDefault="007913A1" w:rsidP="00A44AA8">
      <w:pPr>
        <w:pStyle w:val="a0"/>
        <w:adjustRightInd w:val="0"/>
        <w:spacing w:before="93" w:line="600" w:lineRule="exact"/>
        <w:ind w:firstLineChars="200" w:firstLine="640"/>
        <w:rPr>
          <w:rFonts w:hAnsi="??" w:cs="宋体" w:hint="eastAsia"/>
          <w:sz w:val="32"/>
        </w:rPr>
      </w:pPr>
    </w:p>
    <w:p w:rsidR="007913A1" w:rsidRDefault="007913A1" w:rsidP="00A44AA8">
      <w:pPr>
        <w:pStyle w:val="a0"/>
        <w:adjustRightInd w:val="0"/>
        <w:spacing w:before="93" w:line="600" w:lineRule="exact"/>
        <w:ind w:firstLineChars="200" w:firstLine="640"/>
        <w:rPr>
          <w:rFonts w:hAnsi="??" w:cs="宋体" w:hint="eastAsia"/>
          <w:sz w:val="32"/>
        </w:rPr>
      </w:pPr>
    </w:p>
    <w:p w:rsidR="007913A1" w:rsidRDefault="007913A1" w:rsidP="00A44AA8">
      <w:pPr>
        <w:pStyle w:val="a0"/>
        <w:adjustRightInd w:val="0"/>
        <w:spacing w:before="93" w:line="600" w:lineRule="exact"/>
        <w:ind w:firstLineChars="200" w:firstLine="640"/>
        <w:rPr>
          <w:rFonts w:hAnsi="??" w:cs="宋体" w:hint="eastAsia"/>
          <w:sz w:val="32"/>
        </w:rPr>
      </w:pPr>
    </w:p>
    <w:p w:rsidR="007913A1" w:rsidRDefault="007913A1" w:rsidP="00A44AA8">
      <w:pPr>
        <w:pStyle w:val="a0"/>
        <w:adjustRightInd w:val="0"/>
        <w:spacing w:before="93" w:line="600" w:lineRule="exact"/>
        <w:ind w:firstLineChars="200" w:firstLine="640"/>
        <w:rPr>
          <w:rFonts w:hAnsi="??" w:cs="宋体" w:hint="eastAsia"/>
          <w:sz w:val="32"/>
        </w:rPr>
      </w:pPr>
    </w:p>
    <w:p w:rsidR="007913A1" w:rsidRPr="00A44AA8" w:rsidRDefault="007913A1" w:rsidP="00A44AA8">
      <w:pPr>
        <w:pStyle w:val="a0"/>
        <w:adjustRightInd w:val="0"/>
        <w:spacing w:before="93" w:line="600" w:lineRule="exact"/>
        <w:ind w:firstLineChars="200" w:firstLine="640"/>
        <w:rPr>
          <w:rFonts w:hAnsi="??" w:cs="宋体" w:hint="eastAsia"/>
          <w:sz w:val="32"/>
        </w:rPr>
      </w:pPr>
    </w:p>
    <w:p w:rsidR="00F8018B" w:rsidRDefault="00E11388">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w:t>
      </w:r>
      <w:r w:rsidR="00A44AA8">
        <w:rPr>
          <w:rFonts w:ascii="黑体" w:eastAsia="黑体" w:hAnsi="黑体" w:hint="eastAsia"/>
          <w:b w:val="0"/>
        </w:rPr>
        <w:t>2</w:t>
      </w:r>
      <w:r>
        <w:rPr>
          <w:rFonts w:ascii="黑体" w:eastAsia="黑体" w:hAnsi="黑体" w:hint="eastAsia"/>
          <w:b w:val="0"/>
        </w:rPr>
        <w:t>年度</w:t>
      </w:r>
      <w:r>
        <w:rPr>
          <w:rStyle w:val="1Char"/>
          <w:rFonts w:ascii="黑体" w:eastAsia="黑体" w:hAnsi="黑体" w:hint="eastAsia"/>
          <w:bCs/>
        </w:rPr>
        <w:t>单位决算情况说明</w:t>
      </w:r>
      <w:bookmarkEnd w:id="16"/>
      <w:bookmarkEnd w:id="17"/>
    </w:p>
    <w:p w:rsidR="00F8018B" w:rsidRDefault="00F8018B"/>
    <w:p w:rsidR="00F8018B" w:rsidRDefault="00E11388">
      <w:pPr>
        <w:pStyle w:val="a9"/>
        <w:numPr>
          <w:ilvl w:val="0"/>
          <w:numId w:val="1"/>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w:t>
      </w:r>
      <w:r w:rsidR="00A44AA8">
        <w:rPr>
          <w:rFonts w:ascii="仿宋_GB2312" w:eastAsia="仿宋_GB2312" w:hAnsi="仿宋" w:hint="eastAsia"/>
          <w:sz w:val="32"/>
          <w:szCs w:val="32"/>
        </w:rPr>
        <w:t>2</w:t>
      </w:r>
      <w:r>
        <w:rPr>
          <w:rFonts w:ascii="仿宋_GB2312" w:eastAsia="仿宋_GB2312" w:hAnsi="仿宋" w:hint="eastAsia"/>
          <w:sz w:val="32"/>
          <w:szCs w:val="32"/>
        </w:rPr>
        <w:t>年度收、支总计</w:t>
      </w:r>
      <w:r w:rsidR="00986669">
        <w:rPr>
          <w:rFonts w:ascii="仿宋_GB2312" w:eastAsia="仿宋_GB2312" w:hAnsi="仿宋" w:hint="eastAsia"/>
          <w:sz w:val="32"/>
          <w:szCs w:val="32"/>
        </w:rPr>
        <w:t>177.59万元</w:t>
      </w:r>
      <w:r>
        <w:rPr>
          <w:rFonts w:ascii="仿宋_GB2312" w:eastAsia="仿宋_GB2312" w:hAnsi="仿宋" w:hint="eastAsia"/>
          <w:sz w:val="32"/>
          <w:szCs w:val="32"/>
        </w:rPr>
        <w:t>。与202</w:t>
      </w:r>
      <w:r w:rsidR="003A648C">
        <w:rPr>
          <w:rFonts w:ascii="仿宋_GB2312" w:eastAsia="仿宋_GB2312" w:hAnsi="仿宋" w:hint="eastAsia"/>
          <w:sz w:val="32"/>
          <w:szCs w:val="32"/>
        </w:rPr>
        <w:t>1</w:t>
      </w:r>
      <w:r>
        <w:rPr>
          <w:rFonts w:ascii="仿宋_GB2312" w:eastAsia="仿宋_GB2312" w:hAnsi="仿宋" w:hint="eastAsia"/>
          <w:sz w:val="32"/>
          <w:szCs w:val="32"/>
        </w:rPr>
        <w:t>年相比，收、支总计各</w:t>
      </w:r>
      <w:r w:rsidR="003A648C">
        <w:rPr>
          <w:rFonts w:ascii="仿宋_GB2312" w:eastAsia="仿宋_GB2312" w:hAnsi="仿宋" w:hint="eastAsia"/>
          <w:sz w:val="32"/>
          <w:szCs w:val="32"/>
        </w:rPr>
        <w:t>减少30.8</w:t>
      </w:r>
      <w:r>
        <w:rPr>
          <w:rFonts w:ascii="仿宋_GB2312" w:eastAsia="仿宋_GB2312" w:hAnsi="仿宋" w:hint="eastAsia"/>
          <w:sz w:val="32"/>
          <w:szCs w:val="32"/>
        </w:rPr>
        <w:t>万元，</w:t>
      </w:r>
      <w:r w:rsidR="003A648C">
        <w:rPr>
          <w:rFonts w:ascii="仿宋_GB2312" w:eastAsia="仿宋_GB2312" w:hAnsi="仿宋" w:hint="eastAsia"/>
          <w:sz w:val="32"/>
          <w:szCs w:val="32"/>
        </w:rPr>
        <w:t>下降14.78</w:t>
      </w:r>
      <w:r>
        <w:rPr>
          <w:rFonts w:ascii="仿宋_GB2312" w:eastAsia="仿宋_GB2312" w:hAnsi="仿宋"/>
          <w:sz w:val="32"/>
          <w:szCs w:val="32"/>
        </w:rPr>
        <w:t>%</w:t>
      </w:r>
      <w:r>
        <w:rPr>
          <w:rFonts w:ascii="仿宋_GB2312" w:eastAsia="仿宋_GB2312" w:hAnsi="仿宋" w:hint="eastAsia"/>
          <w:sz w:val="32"/>
          <w:szCs w:val="32"/>
        </w:rPr>
        <w:t>。主要变动原因是</w:t>
      </w:r>
      <w:r w:rsidR="003A648C">
        <w:rPr>
          <w:rFonts w:ascii="仿宋_GB2312" w:eastAsia="仿宋_GB2312" w:hAnsi="仿宋" w:hint="eastAsia"/>
          <w:sz w:val="32"/>
          <w:szCs w:val="32"/>
        </w:rPr>
        <w:t>调出人员1人，导致相关经费减少</w:t>
      </w:r>
      <w:r>
        <w:rPr>
          <w:rFonts w:ascii="仿宋_GB2312" w:eastAsia="仿宋_GB2312" w:hAnsi="仿宋" w:hint="eastAsia"/>
          <w:sz w:val="32"/>
          <w:szCs w:val="32"/>
        </w:rPr>
        <w:t>。</w:t>
      </w:r>
    </w:p>
    <w:p w:rsidR="00F8018B" w:rsidRDefault="00F8018B">
      <w:pPr>
        <w:pStyle w:val="a0"/>
        <w:spacing w:before="93"/>
      </w:pPr>
    </w:p>
    <w:p w:rsidR="00F8018B" w:rsidRDefault="00E11388">
      <w:pPr>
        <w:pStyle w:val="a0"/>
        <w:spacing w:before="93"/>
      </w:pPr>
      <w:r>
        <w:rPr>
          <w:rFonts w:hint="eastAsia"/>
          <w:noProof/>
        </w:rPr>
        <w:drawing>
          <wp:inline distT="0" distB="0" distL="0" distR="0">
            <wp:extent cx="4874260" cy="2297430"/>
            <wp:effectExtent l="0" t="0" r="2540" b="0"/>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018B" w:rsidRDefault="00E1138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F8018B" w:rsidRDefault="00E11388">
      <w:pPr>
        <w:pStyle w:val="a9"/>
        <w:numPr>
          <w:ilvl w:val="0"/>
          <w:numId w:val="1"/>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w:t>
      </w:r>
      <w:r>
        <w:rPr>
          <w:rFonts w:ascii="仿宋_GB2312" w:eastAsia="仿宋_GB2312" w:hAnsi="仿宋" w:hint="eastAsia"/>
          <w:sz w:val="32"/>
          <w:szCs w:val="32"/>
        </w:rPr>
        <w:t>2</w:t>
      </w:r>
      <w:r w:rsidR="003A648C">
        <w:rPr>
          <w:rFonts w:ascii="仿宋_GB2312" w:eastAsia="仿宋_GB2312" w:hAnsi="仿宋" w:hint="eastAsia"/>
          <w:sz w:val="32"/>
          <w:szCs w:val="32"/>
        </w:rPr>
        <w:t>2</w:t>
      </w:r>
      <w:r>
        <w:rPr>
          <w:rFonts w:ascii="仿宋_GB2312" w:eastAsia="仿宋_GB2312" w:hAnsi="仿宋" w:hint="eastAsia"/>
          <w:sz w:val="32"/>
          <w:szCs w:val="32"/>
        </w:rPr>
        <w:t>年本年收入合计</w:t>
      </w:r>
      <w:r w:rsidR="003A648C">
        <w:rPr>
          <w:rFonts w:ascii="仿宋_GB2312" w:eastAsia="仿宋_GB2312" w:hAnsi="仿宋" w:hint="eastAsia"/>
          <w:sz w:val="32"/>
          <w:szCs w:val="32"/>
        </w:rPr>
        <w:t>177.59</w:t>
      </w:r>
      <w:r>
        <w:rPr>
          <w:rFonts w:ascii="仿宋_GB2312" w:eastAsia="仿宋_GB2312" w:hAnsi="仿宋" w:hint="eastAsia"/>
          <w:sz w:val="32"/>
          <w:szCs w:val="32"/>
        </w:rPr>
        <w:t>万元，其中：一般公共预算财政拨款收入</w:t>
      </w:r>
      <w:r w:rsidR="003A648C">
        <w:rPr>
          <w:rFonts w:ascii="仿宋_GB2312" w:eastAsia="仿宋_GB2312" w:hAnsi="仿宋" w:hint="eastAsia"/>
          <w:sz w:val="32"/>
          <w:szCs w:val="32"/>
        </w:rPr>
        <w:t>177.59</w:t>
      </w:r>
      <w:r>
        <w:rPr>
          <w:rFonts w:ascii="仿宋_GB2312" w:eastAsia="仿宋_GB2312" w:hAnsi="仿宋" w:hint="eastAsia"/>
          <w:sz w:val="32"/>
          <w:szCs w:val="32"/>
        </w:rPr>
        <w:t>万元，占100</w:t>
      </w:r>
      <w:r>
        <w:rPr>
          <w:rFonts w:ascii="仿宋_GB2312" w:eastAsia="仿宋_GB2312" w:hAnsi="仿宋"/>
          <w:sz w:val="32"/>
          <w:szCs w:val="32"/>
        </w:rPr>
        <w:t>%</w:t>
      </w:r>
      <w:r>
        <w:rPr>
          <w:rFonts w:ascii="仿宋_GB2312" w:eastAsia="仿宋_GB2312" w:hAnsi="仿宋" w:hint="eastAsia"/>
          <w:sz w:val="32"/>
          <w:szCs w:val="32"/>
        </w:rPr>
        <w:t>；政府性基金预算财政拨款收入0万元，占0</w:t>
      </w:r>
      <w:r>
        <w:rPr>
          <w:rFonts w:ascii="仿宋_GB2312" w:eastAsia="仿宋_GB2312" w:hAnsi="仿宋"/>
          <w:sz w:val="32"/>
          <w:szCs w:val="32"/>
        </w:rPr>
        <w:t>%</w:t>
      </w:r>
      <w:r>
        <w:rPr>
          <w:rFonts w:ascii="仿宋_GB2312" w:eastAsia="仿宋_GB2312" w:hAnsi="仿宋" w:hint="eastAsia"/>
          <w:sz w:val="32"/>
          <w:szCs w:val="32"/>
        </w:rPr>
        <w:t>；上级补助收入0万元，占0</w:t>
      </w:r>
      <w:r>
        <w:rPr>
          <w:rFonts w:ascii="仿宋_GB2312" w:eastAsia="仿宋_GB2312" w:hAnsi="仿宋"/>
          <w:sz w:val="32"/>
          <w:szCs w:val="32"/>
        </w:rPr>
        <w:t>%</w:t>
      </w:r>
      <w:r>
        <w:rPr>
          <w:rFonts w:ascii="仿宋_GB2312" w:eastAsia="仿宋_GB2312" w:hAnsi="仿宋" w:hint="eastAsia"/>
          <w:sz w:val="32"/>
          <w:szCs w:val="32"/>
        </w:rPr>
        <w:t>；事业收入0万元，占0</w:t>
      </w:r>
      <w:r>
        <w:rPr>
          <w:rFonts w:ascii="仿宋_GB2312" w:eastAsia="仿宋_GB2312" w:hAnsi="仿宋"/>
          <w:sz w:val="32"/>
          <w:szCs w:val="32"/>
        </w:rPr>
        <w:t>%</w:t>
      </w:r>
      <w:r>
        <w:rPr>
          <w:rFonts w:ascii="仿宋_GB2312" w:eastAsia="仿宋_GB2312" w:hAnsi="仿宋" w:hint="eastAsia"/>
          <w:sz w:val="32"/>
          <w:szCs w:val="32"/>
        </w:rPr>
        <w:t>；经营收入0万元，占0</w:t>
      </w:r>
      <w:r>
        <w:rPr>
          <w:rFonts w:ascii="仿宋_GB2312" w:eastAsia="仿宋_GB2312" w:hAnsi="仿宋"/>
          <w:sz w:val="32"/>
          <w:szCs w:val="32"/>
        </w:rPr>
        <w:t>%</w:t>
      </w:r>
      <w:r>
        <w:rPr>
          <w:rFonts w:ascii="仿宋_GB2312" w:eastAsia="仿宋_GB2312" w:hAnsi="仿宋" w:hint="eastAsia"/>
          <w:sz w:val="32"/>
          <w:szCs w:val="32"/>
        </w:rPr>
        <w:t>；附属单位上缴收入0万元，占0</w:t>
      </w:r>
      <w:r>
        <w:rPr>
          <w:rFonts w:ascii="仿宋_GB2312" w:eastAsia="仿宋_GB2312" w:hAnsi="仿宋"/>
          <w:sz w:val="32"/>
          <w:szCs w:val="32"/>
        </w:rPr>
        <w:t>%</w:t>
      </w:r>
      <w:r>
        <w:rPr>
          <w:rFonts w:ascii="仿宋_GB2312" w:eastAsia="仿宋_GB2312" w:hAnsi="仿宋" w:hint="eastAsia"/>
          <w:sz w:val="32"/>
          <w:szCs w:val="32"/>
        </w:rPr>
        <w:t>；其他收入0万元，占0</w:t>
      </w:r>
      <w:r>
        <w:rPr>
          <w:rFonts w:ascii="仿宋_GB2312" w:eastAsia="仿宋_GB2312" w:hAnsi="仿宋"/>
          <w:sz w:val="32"/>
          <w:szCs w:val="32"/>
        </w:rPr>
        <w:t>%</w:t>
      </w:r>
      <w:r>
        <w:rPr>
          <w:rFonts w:ascii="仿宋_GB2312" w:eastAsia="仿宋_GB2312" w:hAnsi="仿宋" w:hint="eastAsia"/>
          <w:sz w:val="32"/>
          <w:szCs w:val="32"/>
        </w:rPr>
        <w:t>。</w:t>
      </w:r>
    </w:p>
    <w:p w:rsidR="00F8018B" w:rsidRDefault="00E11388">
      <w:pPr>
        <w:pStyle w:val="a0"/>
        <w:spacing w:before="93"/>
        <w:rPr>
          <w:rFonts w:ascii="仿宋" w:eastAsia="仿宋" w:hAnsi="仿宋"/>
          <w:sz w:val="32"/>
          <w:szCs w:val="32"/>
        </w:rPr>
      </w:pPr>
      <w:r>
        <w:rPr>
          <w:noProof/>
        </w:rPr>
        <w:lastRenderedPageBreak/>
        <w:drawing>
          <wp:inline distT="0" distB="0" distL="0" distR="0">
            <wp:extent cx="4619625" cy="271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（图2：收入决算结构图）（饼状图）</w:t>
      </w:r>
    </w:p>
    <w:p w:rsidR="00F8018B" w:rsidRDefault="00E11388">
      <w:pPr>
        <w:pStyle w:val="a9"/>
        <w:numPr>
          <w:ilvl w:val="0"/>
          <w:numId w:val="1"/>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F8018B" w:rsidRDefault="00E11388">
      <w:pPr>
        <w:spacing w:line="6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202</w:t>
      </w:r>
      <w:r w:rsidR="003A648C">
        <w:rPr>
          <w:rFonts w:ascii="仿宋_GB2312" w:eastAsia="仿宋_GB2312" w:hAnsi="仿宋" w:hint="eastAsia"/>
          <w:sz w:val="32"/>
          <w:szCs w:val="32"/>
        </w:rPr>
        <w:t>2</w:t>
      </w:r>
      <w:r>
        <w:rPr>
          <w:rFonts w:ascii="仿宋_GB2312" w:eastAsia="仿宋_GB2312" w:hAnsi="仿宋" w:hint="eastAsia"/>
          <w:sz w:val="32"/>
          <w:szCs w:val="32"/>
        </w:rPr>
        <w:t>年本年支出</w:t>
      </w:r>
      <w:bookmarkStart w:id="24" w:name="_GoBack"/>
      <w:bookmarkEnd w:id="24"/>
      <w:r>
        <w:rPr>
          <w:rFonts w:ascii="仿宋_GB2312" w:eastAsia="仿宋_GB2312" w:hAnsi="仿宋" w:hint="eastAsia"/>
          <w:sz w:val="32"/>
          <w:szCs w:val="32"/>
        </w:rPr>
        <w:t>合计</w:t>
      </w:r>
      <w:r w:rsidR="003A648C">
        <w:rPr>
          <w:rFonts w:ascii="仿宋_GB2312" w:eastAsia="仿宋_GB2312" w:hAnsi="仿宋" w:hint="eastAsia"/>
          <w:sz w:val="32"/>
          <w:szCs w:val="32"/>
        </w:rPr>
        <w:t>177.59</w:t>
      </w:r>
      <w:r>
        <w:rPr>
          <w:rFonts w:ascii="仿宋_GB2312" w:eastAsia="仿宋_GB2312" w:hAnsi="仿宋" w:hint="eastAsia"/>
          <w:sz w:val="32"/>
          <w:szCs w:val="32"/>
        </w:rPr>
        <w:t>万元，其中：基本支出</w:t>
      </w:r>
      <w:r w:rsidR="003A648C">
        <w:rPr>
          <w:rFonts w:ascii="仿宋_GB2312" w:eastAsia="仿宋_GB2312" w:hAnsi="仿宋" w:hint="eastAsia"/>
          <w:sz w:val="32"/>
          <w:szCs w:val="32"/>
        </w:rPr>
        <w:t>165.59</w:t>
      </w:r>
      <w:r>
        <w:rPr>
          <w:rFonts w:ascii="仿宋_GB2312" w:eastAsia="仿宋_GB2312" w:hAnsi="仿宋" w:hint="eastAsia"/>
          <w:sz w:val="32"/>
          <w:szCs w:val="32"/>
        </w:rPr>
        <w:t>万元，占</w:t>
      </w:r>
      <w:r w:rsidR="003A648C">
        <w:rPr>
          <w:rFonts w:ascii="仿宋_GB2312" w:eastAsia="仿宋_GB2312" w:hAnsi="仿宋" w:hint="eastAsia"/>
          <w:sz w:val="32"/>
          <w:szCs w:val="32"/>
        </w:rPr>
        <w:t>93</w:t>
      </w:r>
      <w:r>
        <w:rPr>
          <w:rFonts w:ascii="仿宋_GB2312" w:eastAsia="仿宋_GB2312" w:hAnsi="仿宋" w:hint="eastAsia"/>
          <w:sz w:val="32"/>
          <w:szCs w:val="32"/>
        </w:rPr>
        <w:t>.24%；项目支出12万元，占</w:t>
      </w:r>
      <w:r w:rsidR="003A648C">
        <w:rPr>
          <w:rFonts w:ascii="仿宋_GB2312" w:eastAsia="仿宋_GB2312" w:hAnsi="仿宋" w:hint="eastAsia"/>
          <w:sz w:val="32"/>
          <w:szCs w:val="32"/>
        </w:rPr>
        <w:t>6</w:t>
      </w:r>
      <w:r>
        <w:rPr>
          <w:rFonts w:ascii="仿宋_GB2312" w:eastAsia="仿宋_GB2312" w:hAnsi="仿宋" w:hint="eastAsia"/>
          <w:sz w:val="32"/>
          <w:szCs w:val="32"/>
        </w:rPr>
        <w:t>.76%；上缴上级支出0万元，占0%；经营支出0万元，占0%；对附属单位补助支出0万元，占0%。</w:t>
      </w:r>
    </w:p>
    <w:p w:rsidR="00F8018B" w:rsidRDefault="00E11388">
      <w:pPr>
        <w:pStyle w:val="a0"/>
        <w:spacing w:before="93"/>
      </w:pPr>
      <w:r>
        <w:rPr>
          <w:noProof/>
        </w:rPr>
        <w:drawing>
          <wp:inline distT="0" distB="0" distL="0" distR="0">
            <wp:extent cx="4276725" cy="27908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（图3：支出决算结构图）（饼状图）</w:t>
      </w:r>
    </w:p>
    <w:p w:rsidR="00F8018B" w:rsidRDefault="00E11388">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202</w:t>
      </w:r>
      <w:r w:rsidR="003A648C">
        <w:rPr>
          <w:rFonts w:ascii="仿宋_GB2312" w:eastAsia="仿宋_GB2312" w:hAnsi="仿宋" w:hint="eastAsia"/>
          <w:sz w:val="32"/>
          <w:szCs w:val="32"/>
        </w:rPr>
        <w:t>2</w:t>
      </w:r>
      <w:r>
        <w:rPr>
          <w:rFonts w:ascii="仿宋_GB2312" w:eastAsia="仿宋_GB2312" w:hAnsi="仿宋" w:hint="eastAsia"/>
          <w:sz w:val="32"/>
          <w:szCs w:val="32"/>
        </w:rPr>
        <w:t>年财政拨款收、支总计</w:t>
      </w:r>
      <w:r w:rsidR="003A648C">
        <w:rPr>
          <w:rFonts w:ascii="仿宋_GB2312" w:eastAsia="仿宋_GB2312" w:hAnsi="仿宋" w:hint="eastAsia"/>
          <w:sz w:val="32"/>
          <w:szCs w:val="32"/>
        </w:rPr>
        <w:t>177.59</w:t>
      </w:r>
      <w:r>
        <w:rPr>
          <w:rFonts w:ascii="仿宋_GB2312" w:eastAsia="仿宋_GB2312" w:hAnsi="仿宋" w:hint="eastAsia"/>
          <w:sz w:val="32"/>
          <w:szCs w:val="32"/>
        </w:rPr>
        <w:t>万元。与202</w:t>
      </w:r>
      <w:r w:rsidR="003A648C">
        <w:rPr>
          <w:rFonts w:ascii="仿宋_GB2312" w:eastAsia="仿宋_GB2312" w:hAnsi="仿宋" w:hint="eastAsia"/>
          <w:sz w:val="32"/>
          <w:szCs w:val="32"/>
        </w:rPr>
        <w:t>1</w:t>
      </w:r>
      <w:r>
        <w:rPr>
          <w:rFonts w:ascii="仿宋_GB2312" w:eastAsia="仿宋_GB2312" w:hAnsi="仿宋" w:hint="eastAsia"/>
          <w:sz w:val="32"/>
          <w:szCs w:val="32"/>
        </w:rPr>
        <w:t>年相比，财政拨款收、支总计各</w:t>
      </w:r>
      <w:r w:rsidR="003A648C">
        <w:rPr>
          <w:rFonts w:ascii="仿宋_GB2312" w:eastAsia="仿宋_GB2312" w:hAnsi="仿宋" w:hint="eastAsia"/>
          <w:sz w:val="32"/>
          <w:szCs w:val="32"/>
        </w:rPr>
        <w:t>减少30.8万元，下降14.78</w:t>
      </w:r>
      <w:r w:rsidR="003A648C">
        <w:rPr>
          <w:rFonts w:ascii="仿宋_GB2312" w:eastAsia="仿宋_GB2312" w:hAnsi="仿宋"/>
          <w:sz w:val="32"/>
          <w:szCs w:val="32"/>
        </w:rPr>
        <w:t>%</w:t>
      </w:r>
      <w:r w:rsidR="003A648C">
        <w:rPr>
          <w:rFonts w:ascii="仿宋_GB2312" w:eastAsia="仿宋_GB2312" w:hAnsi="仿宋" w:hint="eastAsia"/>
          <w:sz w:val="32"/>
          <w:szCs w:val="32"/>
        </w:rPr>
        <w:t>。主要变动原因是调出人员1人，导致相关经费减少。</w:t>
      </w:r>
    </w:p>
    <w:p w:rsidR="00F8018B" w:rsidRDefault="00E11388">
      <w:pPr>
        <w:pStyle w:val="a0"/>
        <w:spacing w:before="93"/>
      </w:pPr>
      <w:r>
        <w:rPr>
          <w:noProof/>
        </w:rPr>
        <w:drawing>
          <wp:inline distT="0" distB="0" distL="0" distR="0">
            <wp:extent cx="4286250" cy="27908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（图4：财政拨款收、支决算总计变动情况）（柱状图）</w:t>
      </w:r>
    </w:p>
    <w:p w:rsidR="00F8018B" w:rsidRDefault="00E11388">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F8018B" w:rsidRDefault="00E11388">
      <w:pPr>
        <w:spacing w:line="600" w:lineRule="exact"/>
        <w:ind w:firstLineChars="200" w:firstLine="643"/>
        <w:outlineLvl w:val="2"/>
        <w:rPr>
          <w:rFonts w:ascii="仿宋_GB2312" w:eastAsia="仿宋_GB2312" w:hAnsi="仿宋"/>
          <w:b/>
          <w:sz w:val="32"/>
          <w:szCs w:val="32"/>
        </w:rPr>
      </w:pPr>
      <w:bookmarkStart w:id="29" w:name="_Toc15377210"/>
      <w:r>
        <w:rPr>
          <w:rFonts w:ascii="仿宋_GB2312" w:eastAsia="仿宋_GB2312" w:hAnsi="仿宋" w:hint="eastAsia"/>
          <w:b/>
          <w:sz w:val="32"/>
          <w:szCs w:val="32"/>
        </w:rPr>
        <w:t>（一）一般公共预算财政拨款支出决算总体情况</w:t>
      </w:r>
      <w:bookmarkEnd w:id="29"/>
    </w:p>
    <w:p w:rsidR="003A648C" w:rsidRDefault="00E11388" w:rsidP="003A648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w:t>
      </w:r>
      <w:r w:rsidR="003A648C">
        <w:rPr>
          <w:rFonts w:ascii="仿宋_GB2312" w:eastAsia="仿宋_GB2312" w:hAnsi="仿宋" w:hint="eastAsia"/>
          <w:sz w:val="32"/>
          <w:szCs w:val="32"/>
        </w:rPr>
        <w:t>2</w:t>
      </w:r>
      <w:r>
        <w:rPr>
          <w:rFonts w:ascii="仿宋_GB2312" w:eastAsia="仿宋_GB2312" w:hAnsi="仿宋" w:hint="eastAsia"/>
          <w:sz w:val="32"/>
          <w:szCs w:val="32"/>
        </w:rPr>
        <w:t>年一般公共预算财政拨款支出</w:t>
      </w:r>
      <w:r w:rsidR="003A648C">
        <w:rPr>
          <w:rFonts w:ascii="仿宋_GB2312" w:eastAsia="仿宋_GB2312" w:hAnsi="仿宋" w:hint="eastAsia"/>
          <w:sz w:val="32"/>
          <w:szCs w:val="32"/>
        </w:rPr>
        <w:t>177.59</w:t>
      </w:r>
      <w:r>
        <w:rPr>
          <w:rFonts w:ascii="仿宋_GB2312" w:eastAsia="仿宋_GB2312" w:hAnsi="仿宋" w:hint="eastAsia"/>
          <w:sz w:val="32"/>
          <w:szCs w:val="32"/>
        </w:rPr>
        <w:t>万元，占本年支出合计的100%。与202</w:t>
      </w:r>
      <w:r w:rsidR="003A648C">
        <w:rPr>
          <w:rFonts w:ascii="仿宋_GB2312" w:eastAsia="仿宋_GB2312" w:hAnsi="仿宋" w:hint="eastAsia"/>
          <w:sz w:val="32"/>
          <w:szCs w:val="32"/>
        </w:rPr>
        <w:t>1</w:t>
      </w:r>
      <w:r>
        <w:rPr>
          <w:rFonts w:ascii="仿宋_GB2312" w:eastAsia="仿宋_GB2312" w:hAnsi="仿宋" w:hint="eastAsia"/>
          <w:sz w:val="32"/>
          <w:szCs w:val="32"/>
        </w:rPr>
        <w:t>年相比，一般公共预算财政拨款</w:t>
      </w:r>
      <w:r w:rsidR="003A648C">
        <w:rPr>
          <w:rFonts w:ascii="仿宋_GB2312" w:eastAsia="仿宋_GB2312" w:hAnsi="仿宋" w:hint="eastAsia"/>
          <w:sz w:val="32"/>
          <w:szCs w:val="32"/>
        </w:rPr>
        <w:t>减少30.8万元，下降14.78</w:t>
      </w:r>
      <w:r w:rsidR="003A648C">
        <w:rPr>
          <w:rFonts w:ascii="仿宋_GB2312" w:eastAsia="仿宋_GB2312" w:hAnsi="仿宋"/>
          <w:sz w:val="32"/>
          <w:szCs w:val="32"/>
        </w:rPr>
        <w:t>%</w:t>
      </w:r>
      <w:r w:rsidR="003A648C">
        <w:rPr>
          <w:rFonts w:ascii="仿宋_GB2312" w:eastAsia="仿宋_GB2312" w:hAnsi="仿宋" w:hint="eastAsia"/>
          <w:sz w:val="32"/>
          <w:szCs w:val="32"/>
        </w:rPr>
        <w:t>。主要变动原因是调出人员1人，导致相关经费减少。</w:t>
      </w:r>
    </w:p>
    <w:p w:rsidR="00F8018B" w:rsidRDefault="00F8018B">
      <w:pPr>
        <w:spacing w:line="600" w:lineRule="exact"/>
        <w:ind w:firstLineChars="200" w:firstLine="420"/>
      </w:pPr>
    </w:p>
    <w:p w:rsidR="00F8018B" w:rsidRDefault="00E11388">
      <w:pPr>
        <w:pStyle w:val="a0"/>
        <w:spacing w:before="93"/>
      </w:pPr>
      <w:r>
        <w:rPr>
          <w:noProof/>
        </w:rPr>
        <w:lastRenderedPageBreak/>
        <w:drawing>
          <wp:inline distT="0" distB="0" distL="0" distR="0">
            <wp:extent cx="3546475" cy="229806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018B" w:rsidRDefault="00E11388">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F8018B" w:rsidRDefault="00E11388">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F8018B" w:rsidRPr="003A648C" w:rsidRDefault="00E11388" w:rsidP="003A648C">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w:t>
      </w:r>
      <w:r w:rsidR="003A648C">
        <w:rPr>
          <w:rFonts w:ascii="仿宋_GB2312" w:eastAsia="仿宋_GB2312" w:hAnsi="仿宋" w:hint="eastAsia"/>
          <w:sz w:val="32"/>
          <w:szCs w:val="32"/>
        </w:rPr>
        <w:t>2</w:t>
      </w:r>
      <w:r>
        <w:rPr>
          <w:rFonts w:ascii="仿宋_GB2312" w:eastAsia="仿宋_GB2312" w:hAnsi="仿宋" w:hint="eastAsia"/>
          <w:sz w:val="32"/>
          <w:szCs w:val="32"/>
        </w:rPr>
        <w:t>年一般公共预算财政拨款支出</w:t>
      </w:r>
      <w:r w:rsidR="003A648C">
        <w:rPr>
          <w:rFonts w:ascii="仿宋_GB2312" w:eastAsia="仿宋_GB2312" w:hAnsi="仿宋" w:hint="eastAsia"/>
          <w:sz w:val="32"/>
          <w:szCs w:val="32"/>
        </w:rPr>
        <w:t>177.59</w:t>
      </w:r>
      <w:r>
        <w:rPr>
          <w:rFonts w:ascii="仿宋_GB2312" w:eastAsia="仿宋_GB2312" w:hAnsi="仿宋" w:hint="eastAsia"/>
          <w:sz w:val="32"/>
          <w:szCs w:val="32"/>
        </w:rPr>
        <w:t>万元，主要用于以下方面:</w:t>
      </w:r>
      <w:r>
        <w:rPr>
          <w:rFonts w:ascii="仿宋_GB2312" w:eastAsia="仿宋_GB2312" w:hAnsi="仿宋" w:hint="eastAsia"/>
          <w:b/>
          <w:sz w:val="32"/>
          <w:szCs w:val="32"/>
        </w:rPr>
        <w:t>公共安全支出（类）</w:t>
      </w:r>
      <w:r>
        <w:rPr>
          <w:rFonts w:ascii="仿宋_GB2312" w:eastAsia="仿宋_GB2312" w:hAnsi="仿宋" w:hint="eastAsia"/>
          <w:sz w:val="32"/>
          <w:szCs w:val="32"/>
        </w:rPr>
        <w:t>支出</w:t>
      </w:r>
      <w:r w:rsidR="003A648C">
        <w:rPr>
          <w:rFonts w:ascii="仿宋_GB2312" w:eastAsia="仿宋_GB2312" w:hAnsi="仿宋" w:hint="eastAsia"/>
          <w:sz w:val="32"/>
          <w:szCs w:val="32"/>
        </w:rPr>
        <w:t>134.6</w:t>
      </w:r>
      <w:r>
        <w:rPr>
          <w:rFonts w:ascii="仿宋_GB2312" w:eastAsia="仿宋_GB2312" w:hAnsi="仿宋" w:hint="eastAsia"/>
          <w:sz w:val="32"/>
          <w:szCs w:val="32"/>
        </w:rPr>
        <w:t>万元，占</w:t>
      </w:r>
      <w:r w:rsidR="007913A1">
        <w:rPr>
          <w:rFonts w:ascii="仿宋_GB2312" w:eastAsia="仿宋_GB2312" w:hAnsi="仿宋" w:hint="eastAsia"/>
          <w:sz w:val="32"/>
          <w:szCs w:val="32"/>
        </w:rPr>
        <w:t>75.79</w:t>
      </w:r>
      <w:r>
        <w:rPr>
          <w:rFonts w:ascii="仿宋_GB2312" w:eastAsia="仿宋_GB2312" w:hAnsi="仿宋" w:hint="eastAsia"/>
          <w:sz w:val="32"/>
          <w:szCs w:val="32"/>
        </w:rPr>
        <w:t>%；</w:t>
      </w:r>
      <w:r>
        <w:rPr>
          <w:rFonts w:ascii="仿宋_GB2312" w:eastAsia="仿宋_GB2312" w:hAnsi="仿宋" w:hint="eastAsia"/>
          <w:b/>
          <w:sz w:val="32"/>
          <w:szCs w:val="32"/>
        </w:rPr>
        <w:t>社会保障和就业支出（类）</w:t>
      </w:r>
      <w:r w:rsidR="003A648C">
        <w:rPr>
          <w:rFonts w:ascii="仿宋_GB2312" w:eastAsia="仿宋_GB2312" w:hAnsi="仿宋" w:hint="eastAsia"/>
          <w:sz w:val="32"/>
          <w:szCs w:val="32"/>
        </w:rPr>
        <w:t>10.77</w:t>
      </w:r>
      <w:r>
        <w:rPr>
          <w:rFonts w:ascii="仿宋_GB2312" w:eastAsia="仿宋_GB2312" w:hAnsi="仿宋" w:hint="eastAsia"/>
          <w:sz w:val="32"/>
          <w:szCs w:val="32"/>
        </w:rPr>
        <w:t>万元，占</w:t>
      </w:r>
      <w:r w:rsidR="007913A1">
        <w:rPr>
          <w:rFonts w:ascii="仿宋_GB2312" w:eastAsia="仿宋_GB2312" w:hAnsi="仿宋" w:hint="eastAsia"/>
          <w:sz w:val="32"/>
          <w:szCs w:val="32"/>
        </w:rPr>
        <w:t>6.06</w:t>
      </w:r>
      <w:r>
        <w:rPr>
          <w:rFonts w:ascii="仿宋_GB2312" w:eastAsia="仿宋_GB2312" w:hAnsi="仿宋" w:hint="eastAsia"/>
          <w:sz w:val="32"/>
          <w:szCs w:val="32"/>
        </w:rPr>
        <w:t>%；</w:t>
      </w:r>
      <w:r>
        <w:rPr>
          <w:rFonts w:ascii="仿宋_GB2312" w:eastAsia="仿宋_GB2312" w:hAnsi="仿宋" w:hint="eastAsia"/>
          <w:b/>
          <w:sz w:val="32"/>
          <w:szCs w:val="32"/>
        </w:rPr>
        <w:t>卫生健康支出（类）</w:t>
      </w:r>
      <w:r>
        <w:rPr>
          <w:rFonts w:ascii="仿宋_GB2312" w:eastAsia="仿宋_GB2312" w:hAnsi="仿宋" w:hint="eastAsia"/>
          <w:sz w:val="32"/>
          <w:szCs w:val="32"/>
        </w:rPr>
        <w:t>支出</w:t>
      </w:r>
      <w:r w:rsidR="003A648C">
        <w:rPr>
          <w:rFonts w:ascii="仿宋_GB2312" w:eastAsia="仿宋_GB2312" w:hAnsi="仿宋" w:hint="eastAsia"/>
          <w:sz w:val="32"/>
          <w:szCs w:val="32"/>
        </w:rPr>
        <w:t>10.05</w:t>
      </w:r>
      <w:r>
        <w:rPr>
          <w:rFonts w:ascii="仿宋_GB2312" w:eastAsia="仿宋_GB2312" w:hAnsi="仿宋" w:hint="eastAsia"/>
          <w:sz w:val="32"/>
          <w:szCs w:val="32"/>
        </w:rPr>
        <w:t>万元，占5.</w:t>
      </w:r>
      <w:r w:rsidR="007913A1">
        <w:rPr>
          <w:rFonts w:ascii="仿宋_GB2312" w:eastAsia="仿宋_GB2312" w:hAnsi="仿宋" w:hint="eastAsia"/>
          <w:sz w:val="32"/>
          <w:szCs w:val="32"/>
        </w:rPr>
        <w:t>66</w:t>
      </w:r>
      <w:r>
        <w:rPr>
          <w:rFonts w:ascii="仿宋_GB2312" w:eastAsia="仿宋_GB2312" w:hAnsi="仿宋" w:hint="eastAsia"/>
          <w:sz w:val="32"/>
          <w:szCs w:val="32"/>
        </w:rPr>
        <w:t>%；</w:t>
      </w:r>
      <w:r>
        <w:rPr>
          <w:rFonts w:ascii="仿宋_GB2312" w:eastAsia="仿宋_GB2312" w:hAnsi="仿宋" w:hint="eastAsia"/>
          <w:b/>
          <w:bCs/>
          <w:sz w:val="32"/>
          <w:szCs w:val="32"/>
        </w:rPr>
        <w:t>住房保障支出（类）支出</w:t>
      </w:r>
      <w:r w:rsidR="003A648C">
        <w:rPr>
          <w:rFonts w:ascii="仿宋_GB2312" w:eastAsia="仿宋_GB2312" w:hAnsi="仿宋" w:hint="eastAsia"/>
          <w:b/>
          <w:bCs/>
          <w:sz w:val="32"/>
          <w:szCs w:val="32"/>
        </w:rPr>
        <w:t>22.17</w:t>
      </w:r>
      <w:r>
        <w:rPr>
          <w:rFonts w:ascii="仿宋_GB2312" w:eastAsia="仿宋_GB2312" w:hAnsi="仿宋" w:hint="eastAsia"/>
          <w:b/>
          <w:bCs/>
          <w:sz w:val="32"/>
          <w:szCs w:val="32"/>
        </w:rPr>
        <w:t>万元，</w:t>
      </w:r>
      <w:r>
        <w:rPr>
          <w:rFonts w:ascii="仿宋_GB2312" w:eastAsia="仿宋_GB2312" w:hAnsi="仿宋" w:hint="eastAsia"/>
          <w:sz w:val="32"/>
          <w:szCs w:val="32"/>
        </w:rPr>
        <w:t>占</w:t>
      </w:r>
      <w:r w:rsidR="007913A1">
        <w:rPr>
          <w:rFonts w:ascii="仿宋_GB2312" w:eastAsia="仿宋_GB2312" w:hAnsi="仿宋" w:hint="eastAsia"/>
          <w:sz w:val="32"/>
          <w:szCs w:val="32"/>
        </w:rPr>
        <w:t>12.48</w:t>
      </w:r>
      <w:r>
        <w:rPr>
          <w:rFonts w:ascii="仿宋_GB2312" w:eastAsia="仿宋_GB2312" w:hAnsi="仿宋" w:hint="eastAsia"/>
          <w:sz w:val="32"/>
          <w:szCs w:val="32"/>
        </w:rPr>
        <w:t>%。</w:t>
      </w:r>
    </w:p>
    <w:p w:rsidR="00F8018B" w:rsidRDefault="00E11388">
      <w:pPr>
        <w:pStyle w:val="a0"/>
        <w:spacing w:before="93"/>
      </w:pPr>
      <w:r>
        <w:rPr>
          <w:noProof/>
        </w:rPr>
        <w:drawing>
          <wp:inline distT="0" distB="0" distL="0" distR="0">
            <wp:extent cx="4397375" cy="246507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（图6：一般公共预算财政拨款支出决算结构）（饼状图）</w:t>
      </w:r>
    </w:p>
    <w:p w:rsidR="00F8018B" w:rsidRDefault="00E11388">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F8018B" w:rsidRDefault="00E11388">
      <w:pPr>
        <w:spacing w:line="600" w:lineRule="exact"/>
        <w:ind w:firstLineChars="200" w:firstLine="643"/>
        <w:outlineLvl w:val="2"/>
        <w:rPr>
          <w:rFonts w:ascii="仿宋_GB2312" w:eastAsia="仿宋_GB2312" w:hAnsi="仿宋"/>
          <w:sz w:val="32"/>
          <w:szCs w:val="32"/>
        </w:rPr>
      </w:pPr>
      <w:bookmarkStart w:id="32" w:name="_Toc15377213"/>
      <w:bookmarkStart w:id="33" w:name="_Toc15378460"/>
      <w:bookmarkStart w:id="34" w:name="_Toc15377444"/>
      <w:r>
        <w:rPr>
          <w:rFonts w:ascii="仿宋_GB2312" w:eastAsia="仿宋_GB2312" w:hAnsi="仿宋" w:hint="eastAsia"/>
          <w:b/>
          <w:sz w:val="32"/>
          <w:szCs w:val="32"/>
        </w:rPr>
        <w:lastRenderedPageBreak/>
        <w:t>202</w:t>
      </w:r>
      <w:r w:rsidR="003A648C">
        <w:rPr>
          <w:rFonts w:ascii="仿宋_GB2312" w:eastAsia="仿宋_GB2312" w:hAnsi="仿宋" w:hint="eastAsia"/>
          <w:b/>
          <w:sz w:val="32"/>
          <w:szCs w:val="32"/>
        </w:rPr>
        <w:t>2</w:t>
      </w:r>
      <w:r>
        <w:rPr>
          <w:rFonts w:ascii="仿宋_GB2312" w:eastAsia="仿宋_GB2312" w:hAnsi="仿宋" w:hint="eastAsia"/>
          <w:b/>
          <w:sz w:val="32"/>
          <w:szCs w:val="32"/>
        </w:rPr>
        <w:t>年一般公共预算支出决算数为</w:t>
      </w:r>
      <w:r w:rsidR="003A648C">
        <w:rPr>
          <w:rFonts w:ascii="仿宋_GB2312" w:eastAsia="仿宋_GB2312" w:hAnsi="仿宋" w:hint="eastAsia"/>
          <w:b/>
          <w:sz w:val="32"/>
          <w:szCs w:val="32"/>
        </w:rPr>
        <w:t>177.59</w:t>
      </w:r>
      <w:r>
        <w:rPr>
          <w:rFonts w:ascii="仿宋_GB2312" w:eastAsia="仿宋_GB2312" w:hAnsi="仿宋" w:hint="eastAsia"/>
          <w:sz w:val="32"/>
          <w:szCs w:val="32"/>
        </w:rPr>
        <w:t>，</w:t>
      </w:r>
      <w:r>
        <w:rPr>
          <w:rStyle w:val="a7"/>
          <w:rFonts w:ascii="仿宋_GB2312" w:eastAsia="仿宋_GB2312" w:hAnsi="仿宋" w:hint="eastAsia"/>
          <w:bCs/>
          <w:sz w:val="32"/>
          <w:szCs w:val="32"/>
        </w:rPr>
        <w:t>完成预算</w:t>
      </w:r>
      <w:r w:rsidR="003A648C">
        <w:rPr>
          <w:rStyle w:val="a7"/>
          <w:rFonts w:ascii="仿宋_GB2312" w:eastAsia="仿宋_GB2312" w:hAnsi="仿宋" w:hint="eastAsia"/>
          <w:bCs/>
          <w:sz w:val="32"/>
          <w:szCs w:val="32"/>
        </w:rPr>
        <w:t>87.31</w:t>
      </w:r>
      <w:r>
        <w:rPr>
          <w:rStyle w:val="a7"/>
          <w:rFonts w:ascii="仿宋_GB2312" w:eastAsia="仿宋_GB2312" w:hAnsi="仿宋" w:hint="eastAsia"/>
          <w:bCs/>
          <w:sz w:val="32"/>
          <w:szCs w:val="32"/>
        </w:rPr>
        <w:t>%。其中：</w:t>
      </w:r>
      <w:bookmarkEnd w:id="32"/>
      <w:bookmarkEnd w:id="33"/>
      <w:bookmarkEnd w:id="34"/>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1. 公共安全支出（类）公安（款）行政运行（项）:</w:t>
      </w:r>
      <w:r>
        <w:rPr>
          <w:rStyle w:val="a7"/>
          <w:rFonts w:ascii="仿宋_GB2312" w:eastAsia="仿宋_GB2312" w:hAnsi="仿宋" w:hint="eastAsia"/>
          <w:b w:val="0"/>
          <w:bCs/>
          <w:sz w:val="32"/>
          <w:szCs w:val="32"/>
        </w:rPr>
        <w:t xml:space="preserve"> 支出决算为</w:t>
      </w:r>
      <w:r w:rsidR="003A648C">
        <w:rPr>
          <w:rStyle w:val="a7"/>
          <w:rFonts w:ascii="仿宋_GB2312" w:eastAsia="仿宋_GB2312" w:hAnsi="仿宋" w:hint="eastAsia"/>
          <w:b w:val="0"/>
          <w:bCs/>
          <w:sz w:val="32"/>
          <w:szCs w:val="32"/>
        </w:rPr>
        <w:t>122.6</w:t>
      </w:r>
      <w:r>
        <w:rPr>
          <w:rStyle w:val="a7"/>
          <w:rFonts w:ascii="仿宋_GB2312" w:eastAsia="仿宋_GB2312" w:hAnsi="仿宋" w:hint="eastAsia"/>
          <w:b w:val="0"/>
          <w:bCs/>
          <w:sz w:val="32"/>
          <w:szCs w:val="32"/>
        </w:rPr>
        <w:t>万元，完成预算</w:t>
      </w:r>
      <w:r w:rsidR="003A648C">
        <w:rPr>
          <w:rStyle w:val="a7"/>
          <w:rFonts w:ascii="仿宋_GB2312" w:eastAsia="仿宋_GB2312" w:hAnsi="仿宋" w:hint="eastAsia"/>
          <w:b w:val="0"/>
          <w:bCs/>
          <w:sz w:val="32"/>
          <w:szCs w:val="32"/>
        </w:rPr>
        <w:t>89.57</w:t>
      </w:r>
      <w:r>
        <w:rPr>
          <w:rStyle w:val="a7"/>
          <w:rFonts w:ascii="仿宋_GB2312" w:eastAsia="仿宋_GB2312" w:hAnsi="仿宋" w:hint="eastAsia"/>
          <w:b w:val="0"/>
          <w:bCs/>
          <w:sz w:val="32"/>
          <w:szCs w:val="32"/>
        </w:rPr>
        <w:t>%，决算数小于预算数的主要原因是受疫情影响，工作计划有所调整，剩余经费财政收回。</w:t>
      </w:r>
    </w:p>
    <w:p w:rsidR="00F8018B" w:rsidRDefault="00E11388">
      <w:pPr>
        <w:spacing w:line="600" w:lineRule="exact"/>
        <w:ind w:firstLineChars="200" w:firstLine="643"/>
        <w:rPr>
          <w:rStyle w:val="a7"/>
          <w:rFonts w:ascii="仿宋_GB2312" w:eastAsia="仿宋_GB2312" w:hAnsi="仿宋"/>
          <w:b w:val="0"/>
          <w:bCs/>
          <w:sz w:val="32"/>
          <w:szCs w:val="32"/>
        </w:rPr>
      </w:pPr>
      <w:r>
        <w:rPr>
          <w:rStyle w:val="a7"/>
          <w:rFonts w:ascii="仿宋_GB2312" w:eastAsia="仿宋_GB2312" w:hAnsi="仿宋" w:hint="eastAsia"/>
          <w:bCs/>
          <w:sz w:val="32"/>
          <w:szCs w:val="32"/>
        </w:rPr>
        <w:t>2.公共安全支出（类）公安（款）一般行政管理事务（项）:</w:t>
      </w:r>
      <w:r>
        <w:rPr>
          <w:rStyle w:val="a7"/>
          <w:rFonts w:ascii="仿宋_GB2312" w:eastAsia="仿宋_GB2312" w:hAnsi="仿宋" w:hint="eastAsia"/>
          <w:b w:val="0"/>
          <w:bCs/>
          <w:sz w:val="32"/>
          <w:szCs w:val="32"/>
        </w:rPr>
        <w:t xml:space="preserve"> 支出决算为12万元，完成预算100%，与预算持平。</w:t>
      </w:r>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3. 社会保障和就业支出（类）行政事业单位养老支出（款）机关事业单位基本养老保险缴费支出（项）：</w:t>
      </w:r>
      <w:r>
        <w:rPr>
          <w:rStyle w:val="a7"/>
          <w:rFonts w:ascii="仿宋_GB2312" w:eastAsia="仿宋_GB2312" w:hAnsi="仿宋" w:hint="eastAsia"/>
          <w:b w:val="0"/>
          <w:bCs/>
          <w:sz w:val="32"/>
          <w:szCs w:val="32"/>
        </w:rPr>
        <w:t xml:space="preserve"> 支出决算为</w:t>
      </w:r>
      <w:r w:rsidR="003A648C">
        <w:rPr>
          <w:rStyle w:val="a7"/>
          <w:rFonts w:ascii="仿宋_GB2312" w:eastAsia="仿宋_GB2312" w:hAnsi="仿宋" w:hint="eastAsia"/>
          <w:b w:val="0"/>
          <w:bCs/>
          <w:sz w:val="32"/>
          <w:szCs w:val="32"/>
        </w:rPr>
        <w:t>10.77</w:t>
      </w:r>
      <w:r>
        <w:rPr>
          <w:rStyle w:val="a7"/>
          <w:rFonts w:ascii="仿宋_GB2312" w:eastAsia="仿宋_GB2312" w:hAnsi="仿宋" w:hint="eastAsia"/>
          <w:b w:val="0"/>
          <w:bCs/>
          <w:sz w:val="32"/>
          <w:szCs w:val="32"/>
        </w:rPr>
        <w:t>万元，完成预算</w:t>
      </w:r>
      <w:r w:rsidR="003A648C">
        <w:rPr>
          <w:rStyle w:val="a7"/>
          <w:rFonts w:ascii="仿宋_GB2312" w:eastAsia="仿宋_GB2312" w:hAnsi="仿宋" w:hint="eastAsia"/>
          <w:b w:val="0"/>
          <w:bCs/>
          <w:sz w:val="32"/>
          <w:szCs w:val="32"/>
        </w:rPr>
        <w:t>80.80</w:t>
      </w:r>
      <w:r>
        <w:rPr>
          <w:rStyle w:val="a7"/>
          <w:rFonts w:ascii="仿宋_GB2312" w:eastAsia="仿宋_GB2312" w:hAnsi="仿宋" w:hint="eastAsia"/>
          <w:b w:val="0"/>
          <w:bCs/>
          <w:sz w:val="32"/>
          <w:szCs w:val="32"/>
        </w:rPr>
        <w:t>%，决算数小于预算数的主要原因是按照实际情况支出。</w:t>
      </w:r>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4.</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 xml:space="preserve">卫生健康支出（类）行政事业单位医疗（款）行政单位医疗（项）: </w:t>
      </w:r>
      <w:r>
        <w:rPr>
          <w:rStyle w:val="a7"/>
          <w:rFonts w:ascii="仿宋_GB2312" w:eastAsia="仿宋_GB2312" w:hAnsi="仿宋" w:hint="eastAsia"/>
          <w:b w:val="0"/>
          <w:bCs/>
          <w:sz w:val="32"/>
          <w:szCs w:val="32"/>
        </w:rPr>
        <w:t>支出决算为</w:t>
      </w:r>
      <w:r w:rsidR="003A648C">
        <w:rPr>
          <w:rStyle w:val="a7"/>
          <w:rFonts w:ascii="仿宋_GB2312" w:eastAsia="仿宋_GB2312" w:hAnsi="仿宋" w:hint="eastAsia"/>
          <w:b w:val="0"/>
          <w:bCs/>
          <w:sz w:val="32"/>
          <w:szCs w:val="32"/>
        </w:rPr>
        <w:t>10.05</w:t>
      </w:r>
      <w:r>
        <w:rPr>
          <w:rStyle w:val="a7"/>
          <w:rFonts w:ascii="仿宋_GB2312" w:eastAsia="仿宋_GB2312" w:hAnsi="仿宋" w:hint="eastAsia"/>
          <w:b w:val="0"/>
          <w:bCs/>
          <w:sz w:val="32"/>
          <w:szCs w:val="32"/>
        </w:rPr>
        <w:t>万元，完成预算100%，与预算持平。</w:t>
      </w:r>
    </w:p>
    <w:p w:rsidR="00F8018B" w:rsidRDefault="00E11388">
      <w:pPr>
        <w:spacing w:line="600" w:lineRule="exact"/>
        <w:ind w:firstLineChars="200" w:firstLine="643"/>
        <w:rPr>
          <w:rStyle w:val="a7"/>
          <w:rFonts w:ascii="仿宋_GB2312" w:eastAsia="仿宋_GB2312" w:hAnsi="仿宋"/>
          <w:b w:val="0"/>
          <w:bCs/>
          <w:sz w:val="32"/>
          <w:szCs w:val="32"/>
        </w:rPr>
      </w:pPr>
      <w:r>
        <w:rPr>
          <w:rStyle w:val="a7"/>
          <w:rFonts w:ascii="仿宋_GB2312" w:eastAsia="仿宋_GB2312" w:hAnsi="仿宋" w:hint="eastAsia"/>
          <w:bCs/>
          <w:sz w:val="32"/>
          <w:szCs w:val="32"/>
        </w:rPr>
        <w:t>5.</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 xml:space="preserve">卫生健康支出（类）行政事业单位医疗（款）公务员医疗补助（项）: </w:t>
      </w:r>
      <w:r>
        <w:rPr>
          <w:rStyle w:val="a7"/>
          <w:rFonts w:ascii="仿宋_GB2312" w:eastAsia="仿宋_GB2312" w:hAnsi="仿宋" w:hint="eastAsia"/>
          <w:b w:val="0"/>
          <w:bCs/>
          <w:sz w:val="32"/>
          <w:szCs w:val="32"/>
        </w:rPr>
        <w:t>支出决算为</w:t>
      </w:r>
      <w:r w:rsidR="003A648C">
        <w:rPr>
          <w:rStyle w:val="a7"/>
          <w:rFonts w:ascii="仿宋_GB2312" w:eastAsia="仿宋_GB2312" w:hAnsi="仿宋" w:hint="eastAsia"/>
          <w:b w:val="0"/>
          <w:bCs/>
          <w:sz w:val="32"/>
          <w:szCs w:val="32"/>
        </w:rPr>
        <w:t>0</w:t>
      </w:r>
      <w:r>
        <w:rPr>
          <w:rStyle w:val="a7"/>
          <w:rFonts w:ascii="仿宋_GB2312" w:eastAsia="仿宋_GB2312" w:hAnsi="仿宋" w:hint="eastAsia"/>
          <w:b w:val="0"/>
          <w:bCs/>
          <w:sz w:val="32"/>
          <w:szCs w:val="32"/>
        </w:rPr>
        <w:t>万元，完成预算</w:t>
      </w:r>
      <w:r w:rsidR="003A648C">
        <w:rPr>
          <w:rStyle w:val="a7"/>
          <w:rFonts w:ascii="仿宋_GB2312" w:eastAsia="仿宋_GB2312" w:hAnsi="仿宋" w:hint="eastAsia"/>
          <w:b w:val="0"/>
          <w:bCs/>
          <w:sz w:val="32"/>
          <w:szCs w:val="32"/>
        </w:rPr>
        <w:t>0</w:t>
      </w:r>
      <w:r>
        <w:rPr>
          <w:rStyle w:val="a7"/>
          <w:rFonts w:ascii="仿宋_GB2312" w:eastAsia="仿宋_GB2312" w:hAnsi="仿宋" w:hint="eastAsia"/>
          <w:b w:val="0"/>
          <w:bCs/>
          <w:sz w:val="32"/>
          <w:szCs w:val="32"/>
        </w:rPr>
        <w:t>%，</w:t>
      </w:r>
      <w:r w:rsidR="0073485D">
        <w:rPr>
          <w:rStyle w:val="a7"/>
          <w:rFonts w:ascii="仿宋_GB2312" w:eastAsia="仿宋_GB2312" w:hAnsi="仿宋" w:hint="eastAsia"/>
          <w:b w:val="0"/>
          <w:bCs/>
          <w:sz w:val="32"/>
          <w:szCs w:val="32"/>
        </w:rPr>
        <w:t>全额退回财政。</w:t>
      </w:r>
    </w:p>
    <w:p w:rsidR="0073485D" w:rsidRDefault="00E11388" w:rsidP="0073485D">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6.</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住房保障支出（类）住房改革支出（款）住房公积金（项）:</w:t>
      </w:r>
      <w:r>
        <w:rPr>
          <w:rStyle w:val="a7"/>
          <w:rFonts w:ascii="仿宋_GB2312" w:eastAsia="仿宋_GB2312" w:hAnsi="仿宋" w:hint="eastAsia"/>
          <w:b w:val="0"/>
          <w:bCs/>
          <w:sz w:val="32"/>
          <w:szCs w:val="32"/>
        </w:rPr>
        <w:t>支出决算为</w:t>
      </w:r>
      <w:r w:rsidR="0073485D">
        <w:rPr>
          <w:rStyle w:val="a7"/>
          <w:rFonts w:ascii="仿宋_GB2312" w:eastAsia="仿宋_GB2312" w:hAnsi="仿宋" w:hint="eastAsia"/>
          <w:b w:val="0"/>
          <w:bCs/>
          <w:sz w:val="32"/>
          <w:szCs w:val="32"/>
        </w:rPr>
        <w:t>9.87</w:t>
      </w:r>
      <w:r>
        <w:rPr>
          <w:rStyle w:val="a7"/>
          <w:rFonts w:ascii="仿宋_GB2312" w:eastAsia="仿宋_GB2312" w:hAnsi="仿宋" w:hint="eastAsia"/>
          <w:b w:val="0"/>
          <w:bCs/>
          <w:sz w:val="32"/>
          <w:szCs w:val="32"/>
        </w:rPr>
        <w:t>万元，完成预算</w:t>
      </w:r>
      <w:r w:rsidR="0073485D">
        <w:rPr>
          <w:rStyle w:val="a7"/>
          <w:rFonts w:ascii="仿宋_GB2312" w:eastAsia="仿宋_GB2312" w:hAnsi="仿宋" w:hint="eastAsia"/>
          <w:b w:val="0"/>
          <w:bCs/>
          <w:sz w:val="32"/>
          <w:szCs w:val="32"/>
        </w:rPr>
        <w:t>76.87</w:t>
      </w:r>
      <w:r>
        <w:rPr>
          <w:rStyle w:val="a7"/>
          <w:rFonts w:ascii="仿宋_GB2312" w:eastAsia="仿宋_GB2312" w:hAnsi="仿宋" w:hint="eastAsia"/>
          <w:b w:val="0"/>
          <w:bCs/>
          <w:sz w:val="32"/>
          <w:szCs w:val="32"/>
        </w:rPr>
        <w:t>%，</w:t>
      </w:r>
      <w:r w:rsidR="0073485D">
        <w:rPr>
          <w:rStyle w:val="a7"/>
          <w:rFonts w:ascii="仿宋_GB2312" w:eastAsia="仿宋_GB2312" w:hAnsi="仿宋" w:hint="eastAsia"/>
          <w:b w:val="0"/>
          <w:bCs/>
          <w:sz w:val="32"/>
          <w:szCs w:val="32"/>
        </w:rPr>
        <w:t>决算数小于预算数的主要原因是按照实际情况支出。</w:t>
      </w:r>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7.</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住房保障支出（类）住房改革支出（款）购房补贴（项）:</w:t>
      </w:r>
      <w:r>
        <w:rPr>
          <w:rStyle w:val="a7"/>
          <w:rFonts w:ascii="仿宋_GB2312" w:eastAsia="仿宋_GB2312" w:hAnsi="仿宋" w:hint="eastAsia"/>
          <w:b w:val="0"/>
          <w:bCs/>
          <w:sz w:val="32"/>
          <w:szCs w:val="32"/>
        </w:rPr>
        <w:t>支出决算为</w:t>
      </w:r>
      <w:r w:rsidR="0073485D">
        <w:rPr>
          <w:rStyle w:val="a7"/>
          <w:rFonts w:ascii="仿宋_GB2312" w:eastAsia="仿宋_GB2312" w:hAnsi="仿宋" w:hint="eastAsia"/>
          <w:b w:val="0"/>
          <w:bCs/>
          <w:sz w:val="32"/>
          <w:szCs w:val="32"/>
        </w:rPr>
        <w:t>12.30</w:t>
      </w:r>
      <w:r>
        <w:rPr>
          <w:rStyle w:val="a7"/>
          <w:rFonts w:ascii="仿宋_GB2312" w:eastAsia="仿宋_GB2312" w:hAnsi="仿宋" w:hint="eastAsia"/>
          <w:b w:val="0"/>
          <w:bCs/>
          <w:sz w:val="32"/>
          <w:szCs w:val="32"/>
        </w:rPr>
        <w:t>万元，完成预算</w:t>
      </w:r>
      <w:r w:rsidR="0073485D">
        <w:rPr>
          <w:rStyle w:val="a7"/>
          <w:rFonts w:ascii="仿宋_GB2312" w:eastAsia="仿宋_GB2312" w:hAnsi="仿宋" w:hint="eastAsia"/>
          <w:b w:val="0"/>
          <w:bCs/>
          <w:sz w:val="32"/>
          <w:szCs w:val="32"/>
        </w:rPr>
        <w:t>72.31</w:t>
      </w:r>
      <w:r>
        <w:rPr>
          <w:rStyle w:val="a7"/>
          <w:rFonts w:ascii="仿宋_GB2312" w:eastAsia="仿宋_GB2312" w:hAnsi="仿宋" w:hint="eastAsia"/>
          <w:b w:val="0"/>
          <w:bCs/>
          <w:sz w:val="32"/>
          <w:szCs w:val="32"/>
        </w:rPr>
        <w:t>%，</w:t>
      </w:r>
      <w:bookmarkStart w:id="35" w:name="_Toc15377214"/>
      <w:bookmarkStart w:id="36" w:name="_Toc15396608"/>
      <w:r>
        <w:rPr>
          <w:rStyle w:val="a7"/>
          <w:rFonts w:ascii="仿宋_GB2312" w:eastAsia="仿宋_GB2312" w:hAnsi="仿宋" w:hint="eastAsia"/>
          <w:b w:val="0"/>
          <w:bCs/>
          <w:sz w:val="32"/>
          <w:szCs w:val="32"/>
        </w:rPr>
        <w:t>决算数</w:t>
      </w:r>
      <w:r>
        <w:rPr>
          <w:rStyle w:val="a7"/>
          <w:rFonts w:ascii="仿宋_GB2312" w:eastAsia="仿宋_GB2312" w:hAnsi="仿宋" w:hint="eastAsia"/>
          <w:b w:val="0"/>
          <w:bCs/>
          <w:sz w:val="32"/>
          <w:szCs w:val="32"/>
        </w:rPr>
        <w:lastRenderedPageBreak/>
        <w:t>小于预算数的主要原因是按照实际情况支出。</w:t>
      </w:r>
    </w:p>
    <w:p w:rsidR="00F8018B" w:rsidRDefault="00E11388">
      <w:pPr>
        <w:spacing w:line="600" w:lineRule="exact"/>
        <w:ind w:firstLineChars="200" w:firstLine="640"/>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F8018B" w:rsidRDefault="00E11388">
      <w:pPr>
        <w:spacing w:line="600" w:lineRule="exact"/>
        <w:ind w:firstLine="645"/>
        <w:rPr>
          <w:rFonts w:ascii="仿宋_GB2312" w:eastAsia="仿宋_GB2312" w:hAnsi="仿宋"/>
          <w:sz w:val="32"/>
          <w:szCs w:val="32"/>
        </w:rPr>
      </w:pPr>
      <w:r>
        <w:rPr>
          <w:rFonts w:ascii="仿宋_GB2312" w:eastAsia="仿宋_GB2312" w:hAnsi="仿宋" w:hint="eastAsia"/>
          <w:sz w:val="32"/>
          <w:szCs w:val="32"/>
        </w:rPr>
        <w:t>202</w:t>
      </w:r>
      <w:r w:rsidR="00C14FC9">
        <w:rPr>
          <w:rFonts w:ascii="仿宋_GB2312" w:eastAsia="仿宋_GB2312" w:hAnsi="仿宋" w:hint="eastAsia"/>
          <w:sz w:val="32"/>
          <w:szCs w:val="32"/>
        </w:rPr>
        <w:t>2</w:t>
      </w:r>
      <w:r>
        <w:rPr>
          <w:rFonts w:ascii="仿宋_GB2312" w:eastAsia="仿宋_GB2312" w:hAnsi="仿宋" w:hint="eastAsia"/>
          <w:sz w:val="32"/>
          <w:szCs w:val="32"/>
        </w:rPr>
        <w:t>年一般公共预算财政拨款基本支出</w:t>
      </w:r>
      <w:r w:rsidR="00C14FC9">
        <w:rPr>
          <w:rFonts w:ascii="仿宋_GB2312" w:eastAsia="仿宋_GB2312" w:hAnsi="仿宋" w:hint="eastAsia"/>
          <w:sz w:val="32"/>
          <w:szCs w:val="32"/>
        </w:rPr>
        <w:t>165.59</w:t>
      </w:r>
      <w:r>
        <w:rPr>
          <w:rFonts w:ascii="仿宋_GB2312" w:eastAsia="仿宋_GB2312" w:hAnsi="仿宋" w:hint="eastAsia"/>
          <w:sz w:val="32"/>
          <w:szCs w:val="32"/>
        </w:rPr>
        <w:t>万元，其中：</w:t>
      </w:r>
    </w:p>
    <w:p w:rsidR="00F8018B" w:rsidRDefault="00E11388">
      <w:pPr>
        <w:spacing w:line="600" w:lineRule="exact"/>
        <w:ind w:firstLine="645"/>
        <w:rPr>
          <w:rFonts w:ascii="仿宋_GB2312" w:eastAsia="仿宋_GB2312" w:hAnsi="仿宋"/>
          <w:sz w:val="32"/>
          <w:szCs w:val="32"/>
        </w:rPr>
      </w:pPr>
      <w:r>
        <w:rPr>
          <w:rFonts w:ascii="仿宋_GB2312" w:eastAsia="仿宋_GB2312" w:hAnsi="仿宋" w:hint="eastAsia"/>
          <w:sz w:val="32"/>
          <w:szCs w:val="32"/>
        </w:rPr>
        <w:t>人员经费</w:t>
      </w:r>
      <w:r w:rsidR="00C14FC9">
        <w:rPr>
          <w:rFonts w:ascii="仿宋_GB2312" w:eastAsia="仿宋_GB2312" w:hAnsi="仿宋" w:hint="eastAsia"/>
          <w:sz w:val="32"/>
          <w:szCs w:val="32"/>
        </w:rPr>
        <w:t>149.29</w:t>
      </w:r>
      <w:r>
        <w:rPr>
          <w:rFonts w:ascii="仿宋_GB2312" w:eastAsia="仿宋_GB2312" w:hAnsi="仿宋" w:hint="eastAsia"/>
          <w:sz w:val="32"/>
          <w:szCs w:val="32"/>
        </w:rPr>
        <w:t>万元，主要包括：基本工资、津贴补贴、机关事业单位基本养老保险缴费、职工基本医疗保险缴费、公务员医疗补助缴费、住房公积金、其他工资福利支出</w:t>
      </w:r>
      <w:r w:rsidR="000060BF">
        <w:rPr>
          <w:rFonts w:ascii="仿宋_GB2312" w:eastAsia="仿宋_GB2312" w:hAnsi="仿宋" w:hint="eastAsia"/>
          <w:sz w:val="32"/>
          <w:szCs w:val="32"/>
        </w:rPr>
        <w:t>、奖励金</w:t>
      </w:r>
      <w:r>
        <w:rPr>
          <w:rFonts w:ascii="仿宋_GB2312" w:eastAsia="仿宋_GB2312" w:hAnsi="仿宋" w:hint="eastAsia"/>
          <w:sz w:val="32"/>
          <w:szCs w:val="32"/>
        </w:rPr>
        <w:t>等。</w:t>
      </w:r>
      <w:r>
        <w:rPr>
          <w:rFonts w:ascii="仿宋_GB2312" w:eastAsia="仿宋_GB2312" w:hAnsi="仿宋" w:hint="eastAsia"/>
          <w:sz w:val="32"/>
          <w:szCs w:val="32"/>
        </w:rPr>
        <w:br/>
        <w:t xml:space="preserve">　　公用经费</w:t>
      </w:r>
      <w:r w:rsidR="00C14FC9">
        <w:rPr>
          <w:rFonts w:ascii="仿宋_GB2312" w:eastAsia="仿宋_GB2312" w:hAnsi="仿宋" w:hint="eastAsia"/>
          <w:sz w:val="32"/>
          <w:szCs w:val="32"/>
        </w:rPr>
        <w:t>16.30</w:t>
      </w:r>
      <w:r>
        <w:rPr>
          <w:rFonts w:ascii="仿宋_GB2312" w:eastAsia="仿宋_GB2312" w:hAnsi="仿宋" w:hint="eastAsia"/>
          <w:sz w:val="32"/>
          <w:szCs w:val="32"/>
        </w:rPr>
        <w:t>万元，主要包括：办公费、</w:t>
      </w:r>
      <w:r w:rsidR="000060BF">
        <w:rPr>
          <w:rFonts w:ascii="仿宋_GB2312" w:eastAsia="仿宋_GB2312" w:hAnsi="仿宋" w:hint="eastAsia"/>
          <w:sz w:val="32"/>
          <w:szCs w:val="32"/>
        </w:rPr>
        <w:t>印刷费</w:t>
      </w:r>
      <w:r>
        <w:rPr>
          <w:rFonts w:ascii="仿宋_GB2312" w:eastAsia="仿宋_GB2312" w:hAnsi="仿宋" w:hint="eastAsia"/>
          <w:sz w:val="32"/>
          <w:szCs w:val="32"/>
        </w:rPr>
        <w:t>、</w:t>
      </w:r>
      <w:r w:rsidR="000060BF">
        <w:rPr>
          <w:rFonts w:ascii="仿宋_GB2312" w:eastAsia="仿宋_GB2312" w:hAnsi="仿宋" w:hint="eastAsia"/>
          <w:sz w:val="32"/>
          <w:szCs w:val="32"/>
        </w:rPr>
        <w:t>租赁费、劳务费、</w:t>
      </w:r>
      <w:r>
        <w:rPr>
          <w:rFonts w:ascii="仿宋_GB2312" w:eastAsia="仿宋_GB2312" w:hAnsi="仿宋" w:hint="eastAsia"/>
          <w:sz w:val="32"/>
          <w:szCs w:val="32"/>
        </w:rPr>
        <w:t>工会经费、福利费、其他交通费用、其他商品和服务支出等。</w:t>
      </w:r>
    </w:p>
    <w:p w:rsidR="00F8018B" w:rsidRDefault="00E11388">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F8018B" w:rsidRDefault="00E11388">
      <w:pPr>
        <w:spacing w:line="600" w:lineRule="exact"/>
        <w:ind w:firstLine="640"/>
        <w:outlineLvl w:val="2"/>
        <w:rPr>
          <w:rFonts w:ascii="仿宋_GB2312" w:eastAsia="仿宋_GB2312" w:hAnsi="仿宋"/>
          <w:b/>
          <w:sz w:val="32"/>
          <w:szCs w:val="32"/>
        </w:rPr>
      </w:pPr>
      <w:bookmarkStart w:id="39" w:name="_Toc15377216"/>
      <w:r>
        <w:rPr>
          <w:rFonts w:ascii="仿宋_GB2312" w:eastAsia="仿宋_GB2312" w:hAnsi="仿宋" w:hint="eastAsia"/>
          <w:b/>
          <w:sz w:val="32"/>
          <w:szCs w:val="32"/>
        </w:rPr>
        <w:t>（一）“三公”经费财政拨款支出决算总体情况说明</w:t>
      </w:r>
      <w:bookmarkEnd w:id="39"/>
    </w:p>
    <w:p w:rsidR="00F8018B" w:rsidRDefault="00E11388">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w:t>
      </w:r>
      <w:r w:rsidR="005D6071">
        <w:rPr>
          <w:rFonts w:ascii="仿宋_GB2312" w:eastAsia="仿宋_GB2312" w:hAnsi="仿宋" w:hint="eastAsia"/>
          <w:sz w:val="32"/>
          <w:szCs w:val="32"/>
        </w:rPr>
        <w:t>2</w:t>
      </w:r>
      <w:r>
        <w:rPr>
          <w:rFonts w:ascii="仿宋_GB2312" w:eastAsia="仿宋_GB2312" w:hAnsi="仿宋" w:hint="eastAsia"/>
          <w:sz w:val="32"/>
          <w:szCs w:val="32"/>
        </w:rPr>
        <w:t>年“三公”经费财政拨款支出决算为0万元， 与202</w:t>
      </w:r>
      <w:r w:rsidR="00C14FC9">
        <w:rPr>
          <w:rFonts w:ascii="仿宋_GB2312" w:eastAsia="仿宋_GB2312" w:hAnsi="仿宋" w:hint="eastAsia"/>
          <w:sz w:val="32"/>
          <w:szCs w:val="32"/>
        </w:rPr>
        <w:t>1</w:t>
      </w:r>
      <w:r>
        <w:rPr>
          <w:rFonts w:ascii="仿宋_GB2312" w:eastAsia="仿宋_GB2312" w:hAnsi="仿宋" w:hint="eastAsia"/>
          <w:sz w:val="32"/>
          <w:szCs w:val="32"/>
        </w:rPr>
        <w:t>年持平。</w:t>
      </w:r>
    </w:p>
    <w:p w:rsidR="00F8018B" w:rsidRDefault="00E11388">
      <w:pPr>
        <w:spacing w:line="600" w:lineRule="exact"/>
        <w:ind w:firstLine="640"/>
        <w:outlineLvl w:val="2"/>
        <w:rPr>
          <w:rFonts w:ascii="仿宋_GB2312" w:eastAsia="仿宋_GB2312" w:hAnsi="仿宋"/>
          <w:b/>
          <w:sz w:val="32"/>
          <w:szCs w:val="32"/>
        </w:rPr>
      </w:pPr>
      <w:bookmarkStart w:id="40" w:name="_Toc15377217"/>
      <w:r>
        <w:rPr>
          <w:rFonts w:ascii="仿宋_GB2312" w:eastAsia="仿宋_GB2312" w:hAnsi="仿宋" w:hint="eastAsia"/>
          <w:b/>
          <w:sz w:val="32"/>
          <w:szCs w:val="32"/>
        </w:rPr>
        <w:t>（二）“三公”经费财政拨款支出决算具体情况说明</w:t>
      </w:r>
      <w:bookmarkEnd w:id="40"/>
    </w:p>
    <w:p w:rsidR="00F8018B" w:rsidRDefault="00E11388">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w:t>
      </w:r>
      <w:r w:rsidR="00C14FC9">
        <w:rPr>
          <w:rFonts w:ascii="仿宋_GB2312" w:eastAsia="仿宋_GB2312" w:hAnsi="仿宋" w:hint="eastAsia"/>
          <w:sz w:val="32"/>
          <w:szCs w:val="32"/>
        </w:rPr>
        <w:t>2</w:t>
      </w:r>
      <w:r>
        <w:rPr>
          <w:rFonts w:ascii="仿宋_GB2312" w:eastAsia="仿宋_GB2312" w:hAnsi="仿宋" w:hint="eastAsia"/>
          <w:sz w:val="32"/>
          <w:szCs w:val="32"/>
        </w:rPr>
        <w:t>年“三公”经费财政拨款支出决算中，因公出国（境）费支出决算0万元，占0%；公务用车购置及运行维护费支出决算0万元，占0%；公务接待费支出决算0万元，占0%。具体情况如下：</w:t>
      </w:r>
    </w:p>
    <w:p w:rsidR="00F8018B" w:rsidRDefault="00E11388">
      <w:pPr>
        <w:pStyle w:val="a0"/>
        <w:spacing w:before="93"/>
      </w:pPr>
      <w:r>
        <w:rPr>
          <w:noProof/>
        </w:rPr>
        <w:lastRenderedPageBreak/>
        <w:drawing>
          <wp:inline distT="0" distB="0" distL="0" distR="0">
            <wp:extent cx="3736975" cy="2186305"/>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018B" w:rsidRDefault="00E11388">
      <w:pPr>
        <w:spacing w:line="600" w:lineRule="exact"/>
        <w:ind w:firstLine="640"/>
        <w:rPr>
          <w:rFonts w:ascii="仿宋_GB2312" w:eastAsia="仿宋_GB2312" w:hAnsi="仿宋"/>
          <w:sz w:val="32"/>
          <w:szCs w:val="32"/>
        </w:rPr>
      </w:pPr>
      <w:r>
        <w:rPr>
          <w:rFonts w:ascii="仿宋_GB2312" w:eastAsia="仿宋_GB2312" w:hAnsi="仿宋" w:hint="eastAsia"/>
          <w:sz w:val="32"/>
          <w:szCs w:val="32"/>
        </w:rPr>
        <w:t>（图7：“三公”经费财政拨款支出结构）（饼状图）</w:t>
      </w:r>
    </w:p>
    <w:p w:rsidR="00F8018B" w:rsidRDefault="00E11388">
      <w:pPr>
        <w:spacing w:line="600" w:lineRule="exact"/>
        <w:ind w:firstLine="640"/>
        <w:rPr>
          <w:rFonts w:ascii="仿宋_GB2312" w:eastAsia="仿宋_GB2312"/>
          <w:sz w:val="32"/>
          <w:szCs w:val="32"/>
        </w:rPr>
      </w:pPr>
      <w:r>
        <w:rPr>
          <w:rFonts w:ascii="仿宋_GB2312" w:eastAsia="仿宋_GB2312" w:hint="eastAsia"/>
          <w:b/>
          <w:sz w:val="32"/>
          <w:szCs w:val="32"/>
        </w:rPr>
        <w:t>1.因公出国（境）经费支出</w:t>
      </w:r>
      <w:r>
        <w:rPr>
          <w:rFonts w:ascii="仿宋_GB2312" w:eastAsia="仿宋_GB2312" w:hint="eastAsia"/>
          <w:sz w:val="32"/>
          <w:szCs w:val="32"/>
        </w:rPr>
        <w:t>0万元，全年安排因公出国（境）团组0次，出国（境）0人。</w:t>
      </w:r>
      <w:r>
        <w:rPr>
          <w:rFonts w:ascii="仿宋_GB2312" w:eastAsia="仿宋_GB2312" w:hAnsi="仿宋" w:hint="eastAsia"/>
          <w:sz w:val="32"/>
          <w:szCs w:val="32"/>
        </w:rPr>
        <w:t>与202</w:t>
      </w:r>
      <w:r w:rsidR="00C14FC9">
        <w:rPr>
          <w:rFonts w:ascii="仿宋_GB2312" w:eastAsia="仿宋_GB2312" w:hAnsi="仿宋" w:hint="eastAsia"/>
          <w:sz w:val="32"/>
          <w:szCs w:val="32"/>
        </w:rPr>
        <w:t>1</w:t>
      </w:r>
      <w:r>
        <w:rPr>
          <w:rFonts w:ascii="仿宋_GB2312" w:eastAsia="仿宋_GB2312" w:hAnsi="仿宋" w:hint="eastAsia"/>
          <w:sz w:val="32"/>
          <w:szCs w:val="32"/>
        </w:rPr>
        <w:t>年持平。</w:t>
      </w:r>
    </w:p>
    <w:p w:rsidR="00F8018B" w:rsidRDefault="00E11388">
      <w:pPr>
        <w:spacing w:line="600" w:lineRule="exact"/>
        <w:ind w:firstLine="640"/>
        <w:rPr>
          <w:rFonts w:ascii="仿宋_GB2312" w:eastAsia="仿宋_GB2312"/>
          <w:b/>
          <w:sz w:val="32"/>
          <w:szCs w:val="32"/>
        </w:rPr>
      </w:pPr>
      <w:r>
        <w:rPr>
          <w:rFonts w:ascii="仿宋_GB2312" w:eastAsia="仿宋_GB2312" w:hint="eastAsia"/>
          <w:b/>
          <w:sz w:val="32"/>
          <w:szCs w:val="32"/>
        </w:rPr>
        <w:t>2.公务用车购置及运行维护费支出</w:t>
      </w:r>
      <w:r>
        <w:rPr>
          <w:rFonts w:ascii="仿宋_GB2312" w:eastAsia="仿宋_GB2312" w:hint="eastAsia"/>
          <w:sz w:val="32"/>
          <w:szCs w:val="32"/>
        </w:rPr>
        <w:t>0万元</w:t>
      </w:r>
      <w:r w:rsidR="000432BC">
        <w:rPr>
          <w:rFonts w:ascii="仿宋_GB2312" w:eastAsia="仿宋_GB2312" w:hint="eastAsia"/>
          <w:sz w:val="32"/>
          <w:szCs w:val="32"/>
        </w:rPr>
        <w:t>,</w:t>
      </w:r>
      <w:r w:rsidR="000432BC" w:rsidRPr="000432BC">
        <w:rPr>
          <w:rFonts w:ascii="仿宋_GB2312" w:eastAsia="仿宋_GB2312" w:hAnsi="仿宋" w:hint="eastAsia"/>
          <w:sz w:val="32"/>
          <w:szCs w:val="32"/>
        </w:rPr>
        <w:t xml:space="preserve"> </w:t>
      </w:r>
      <w:r w:rsidR="000432BC">
        <w:rPr>
          <w:rFonts w:ascii="仿宋_GB2312" w:eastAsia="仿宋_GB2312" w:hAnsi="仿宋" w:hint="eastAsia"/>
          <w:sz w:val="32"/>
          <w:szCs w:val="32"/>
        </w:rPr>
        <w:t>与202</w:t>
      </w:r>
      <w:r w:rsidR="00C14FC9">
        <w:rPr>
          <w:rFonts w:ascii="仿宋_GB2312" w:eastAsia="仿宋_GB2312" w:hAnsi="仿宋" w:hint="eastAsia"/>
          <w:sz w:val="32"/>
          <w:szCs w:val="32"/>
        </w:rPr>
        <w:t>1</w:t>
      </w:r>
      <w:r w:rsidR="000432BC">
        <w:rPr>
          <w:rFonts w:ascii="仿宋_GB2312" w:eastAsia="仿宋_GB2312" w:hAnsi="仿宋" w:hint="eastAsia"/>
          <w:sz w:val="32"/>
          <w:szCs w:val="32"/>
        </w:rPr>
        <w:t>年持平</w:t>
      </w:r>
      <w:r>
        <w:rPr>
          <w:rStyle w:val="a7"/>
          <w:rFonts w:ascii="仿宋_GB2312" w:eastAsia="仿宋_GB2312" w:hAnsi="仿宋" w:hint="eastAsia"/>
          <w:b w:val="0"/>
          <w:bCs/>
          <w:sz w:val="32"/>
          <w:szCs w:val="32"/>
        </w:rPr>
        <w:t>。</w:t>
      </w:r>
    </w:p>
    <w:p w:rsidR="00F8018B" w:rsidRDefault="00E11388">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0万元。全年按规定更新购置公务用车0辆，其中：轿车0辆、金额0万元，越野车0辆、金额0万元，载客汽车0辆、金额0万元。截至202</w:t>
      </w:r>
      <w:r w:rsidR="00C14FC9">
        <w:rPr>
          <w:rFonts w:ascii="仿宋_GB2312" w:eastAsia="仿宋_GB2312" w:hint="eastAsia"/>
          <w:sz w:val="32"/>
          <w:szCs w:val="32"/>
        </w:rPr>
        <w:t>2</w:t>
      </w:r>
      <w:r>
        <w:rPr>
          <w:rFonts w:ascii="仿宋_GB2312" w:eastAsia="仿宋_GB2312" w:hint="eastAsia"/>
          <w:sz w:val="32"/>
          <w:szCs w:val="32"/>
        </w:rPr>
        <w:t>年12月底，单位共有公务用车0辆，其中：轿车0辆、越野车0辆、载客汽车0辆。</w:t>
      </w:r>
    </w:p>
    <w:p w:rsidR="00F8018B" w:rsidRDefault="00E11388">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r>
        <w:rPr>
          <w:rFonts w:ascii="仿宋_GB2312" w:eastAsia="仿宋_GB2312" w:hAnsi="仿宋" w:hint="eastAsia"/>
          <w:sz w:val="32"/>
          <w:szCs w:val="32"/>
        </w:rPr>
        <w:t>。</w:t>
      </w:r>
    </w:p>
    <w:p w:rsidR="00F8018B" w:rsidRDefault="00E11388">
      <w:pPr>
        <w:spacing w:line="600" w:lineRule="exact"/>
        <w:ind w:firstLine="640"/>
        <w:rPr>
          <w:rFonts w:ascii="仿宋_GB2312" w:eastAsia="仿宋_GB2312"/>
          <w:sz w:val="32"/>
          <w:szCs w:val="32"/>
        </w:rPr>
      </w:pPr>
      <w:r>
        <w:rPr>
          <w:rFonts w:ascii="仿宋_GB2312" w:eastAsia="仿宋_GB2312" w:hint="eastAsia"/>
          <w:b/>
          <w:sz w:val="32"/>
          <w:szCs w:val="32"/>
        </w:rPr>
        <w:t>3.公务接待费支出0</w:t>
      </w:r>
      <w:r>
        <w:rPr>
          <w:rFonts w:ascii="仿宋_GB2312" w:eastAsia="仿宋_GB2312" w:hint="eastAsia"/>
          <w:sz w:val="32"/>
          <w:szCs w:val="32"/>
        </w:rPr>
        <w:t>万元，</w:t>
      </w:r>
      <w:r>
        <w:rPr>
          <w:rFonts w:ascii="仿宋_GB2312" w:eastAsia="仿宋_GB2312" w:hAnsi="仿宋" w:hint="eastAsia"/>
          <w:sz w:val="32"/>
          <w:szCs w:val="32"/>
        </w:rPr>
        <w:t>与202</w:t>
      </w:r>
      <w:r w:rsidR="00C14FC9">
        <w:rPr>
          <w:rFonts w:ascii="仿宋_GB2312" w:eastAsia="仿宋_GB2312" w:hAnsi="仿宋" w:hint="eastAsia"/>
          <w:sz w:val="32"/>
          <w:szCs w:val="32"/>
        </w:rPr>
        <w:t>1</w:t>
      </w:r>
      <w:r>
        <w:rPr>
          <w:rFonts w:ascii="仿宋_GB2312" w:eastAsia="仿宋_GB2312" w:hAnsi="仿宋" w:hint="eastAsia"/>
          <w:sz w:val="32"/>
          <w:szCs w:val="32"/>
        </w:rPr>
        <w:t>年持平。</w:t>
      </w:r>
      <w:r>
        <w:rPr>
          <w:rFonts w:ascii="仿宋_GB2312" w:eastAsia="仿宋_GB2312" w:hint="eastAsia"/>
          <w:sz w:val="32"/>
          <w:szCs w:val="32"/>
        </w:rPr>
        <w:t>其中：</w:t>
      </w:r>
    </w:p>
    <w:p w:rsidR="00F8018B" w:rsidRDefault="00E11388">
      <w:pPr>
        <w:spacing w:line="600" w:lineRule="exact"/>
        <w:ind w:firstLine="640"/>
        <w:rPr>
          <w:rFonts w:ascii="仿宋_GB2312" w:eastAsia="仿宋_GB2312"/>
          <w:sz w:val="32"/>
          <w:szCs w:val="32"/>
        </w:rPr>
      </w:pPr>
      <w:r>
        <w:rPr>
          <w:rFonts w:ascii="仿宋_GB2312" w:eastAsia="仿宋_GB2312" w:hAnsi="仿宋" w:hint="eastAsia"/>
          <w:b/>
          <w:sz w:val="32"/>
          <w:szCs w:val="32"/>
        </w:rPr>
        <w:t>国内公务接待支出0</w:t>
      </w:r>
      <w:r>
        <w:rPr>
          <w:rFonts w:ascii="仿宋_GB2312" w:eastAsia="仿宋_GB2312" w:hint="eastAsia"/>
          <w:sz w:val="32"/>
          <w:szCs w:val="32"/>
        </w:rPr>
        <w:t xml:space="preserve">万元， </w:t>
      </w:r>
    </w:p>
    <w:p w:rsidR="00F8018B" w:rsidRDefault="00E11388">
      <w:pPr>
        <w:spacing w:line="600" w:lineRule="exact"/>
        <w:ind w:firstLineChars="200" w:firstLine="643"/>
        <w:rPr>
          <w:rFonts w:ascii="仿宋_GB2312" w:eastAsia="仿宋_GB2312"/>
          <w:sz w:val="32"/>
          <w:szCs w:val="32"/>
        </w:rPr>
      </w:pPr>
      <w:r>
        <w:rPr>
          <w:rFonts w:ascii="仿宋_GB2312" w:eastAsia="仿宋_GB2312" w:hAnsi="仿宋" w:hint="eastAsia"/>
          <w:b/>
          <w:sz w:val="32"/>
          <w:szCs w:val="32"/>
        </w:rPr>
        <w:t>外事接待支出</w:t>
      </w:r>
      <w:r>
        <w:rPr>
          <w:rFonts w:ascii="仿宋_GB2312" w:eastAsia="仿宋_GB2312" w:hAnsi="仿宋" w:hint="eastAsia"/>
          <w:sz w:val="32"/>
          <w:szCs w:val="32"/>
        </w:rPr>
        <w:t>0</w:t>
      </w:r>
      <w:r>
        <w:rPr>
          <w:rFonts w:ascii="仿宋_GB2312" w:eastAsia="仿宋_GB2312" w:hint="eastAsia"/>
          <w:sz w:val="32"/>
          <w:szCs w:val="32"/>
        </w:rPr>
        <w:t>万元，外事接待0批次，0人，共计支出0万元。</w:t>
      </w:r>
    </w:p>
    <w:p w:rsidR="00F8018B" w:rsidRDefault="00E11388">
      <w:pPr>
        <w:spacing w:line="600" w:lineRule="exact"/>
        <w:ind w:firstLine="640"/>
        <w:outlineLvl w:val="1"/>
        <w:rPr>
          <w:rStyle w:val="2Char"/>
          <w:rFonts w:ascii="黑体" w:eastAsia="黑体" w:hAnsi="黑体"/>
        </w:rPr>
      </w:pPr>
      <w:bookmarkStart w:id="41" w:name="_Toc15396610"/>
      <w:bookmarkStart w:id="42"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F8018B" w:rsidRDefault="00E1138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C14FC9">
        <w:rPr>
          <w:rFonts w:ascii="仿宋_GB2312" w:eastAsia="仿宋_GB2312" w:hint="eastAsia"/>
          <w:sz w:val="32"/>
          <w:szCs w:val="32"/>
        </w:rPr>
        <w:t>2</w:t>
      </w:r>
      <w:r>
        <w:rPr>
          <w:rFonts w:ascii="仿宋_GB2312" w:eastAsia="仿宋_GB2312" w:hint="eastAsia"/>
          <w:sz w:val="32"/>
          <w:szCs w:val="32"/>
        </w:rPr>
        <w:t>年政府性基金预算财政拨款支出0万元。</w:t>
      </w:r>
    </w:p>
    <w:p w:rsidR="00F8018B" w:rsidRDefault="00F8018B">
      <w:pPr>
        <w:spacing w:line="600" w:lineRule="exact"/>
        <w:ind w:firstLine="640"/>
        <w:rPr>
          <w:rFonts w:ascii="仿宋_GB2312" w:eastAsia="仿宋_GB2312"/>
          <w:sz w:val="32"/>
          <w:szCs w:val="32"/>
        </w:rPr>
      </w:pPr>
    </w:p>
    <w:p w:rsidR="00F8018B" w:rsidRDefault="00E11388">
      <w:pPr>
        <w:numPr>
          <w:ilvl w:val="0"/>
          <w:numId w:val="2"/>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F8018B" w:rsidRDefault="00E1138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C14FC9">
        <w:rPr>
          <w:rFonts w:ascii="仿宋_GB2312" w:eastAsia="仿宋_GB2312" w:hint="eastAsia"/>
          <w:sz w:val="32"/>
          <w:szCs w:val="32"/>
        </w:rPr>
        <w:t>2</w:t>
      </w:r>
      <w:r>
        <w:rPr>
          <w:rFonts w:ascii="仿宋_GB2312" w:eastAsia="仿宋_GB2312" w:hint="eastAsia"/>
          <w:sz w:val="32"/>
          <w:szCs w:val="32"/>
        </w:rPr>
        <w:t>年国有资本经营预算财政拨款支出0万元。</w:t>
      </w:r>
    </w:p>
    <w:p w:rsidR="00F8018B" w:rsidRDefault="00E11388">
      <w:pPr>
        <w:numPr>
          <w:ilvl w:val="0"/>
          <w:numId w:val="2"/>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F8018B" w:rsidRDefault="00E11388">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D170E9" w:rsidRDefault="00E11388" w:rsidP="00D170E9">
      <w:pPr>
        <w:spacing w:line="600" w:lineRule="exact"/>
        <w:ind w:firstLineChars="200" w:firstLine="640"/>
        <w:rPr>
          <w:rFonts w:ascii="仿宋_GB2312" w:eastAsia="仿宋_GB2312" w:hAnsi="仿宋"/>
          <w:sz w:val="32"/>
          <w:szCs w:val="32"/>
        </w:rPr>
      </w:pPr>
      <w:r>
        <w:rPr>
          <w:rFonts w:ascii="仿宋_GB2312" w:eastAsia="仿宋_GB2312"/>
          <w:sz w:val="32"/>
          <w:szCs w:val="32"/>
        </w:rPr>
        <w:t>20</w:t>
      </w:r>
      <w:r>
        <w:rPr>
          <w:rFonts w:ascii="仿宋_GB2312" w:eastAsia="仿宋_GB2312" w:hint="eastAsia"/>
          <w:sz w:val="32"/>
          <w:szCs w:val="32"/>
        </w:rPr>
        <w:t>2</w:t>
      </w:r>
      <w:r w:rsidR="00C14FC9">
        <w:rPr>
          <w:rFonts w:ascii="仿宋_GB2312" w:eastAsia="仿宋_GB2312" w:hint="eastAsia"/>
          <w:sz w:val="32"/>
          <w:szCs w:val="32"/>
        </w:rPr>
        <w:t>2</w:t>
      </w:r>
      <w:r>
        <w:rPr>
          <w:rFonts w:ascii="仿宋_GB2312" w:eastAsia="仿宋_GB2312" w:hint="eastAsia"/>
          <w:sz w:val="32"/>
          <w:szCs w:val="32"/>
        </w:rPr>
        <w:t>年，四川省政法研究所机关运行经费支出</w:t>
      </w:r>
      <w:r w:rsidR="00C14FC9">
        <w:rPr>
          <w:rFonts w:ascii="仿宋_GB2312" w:eastAsia="仿宋_GB2312" w:hint="eastAsia"/>
          <w:sz w:val="32"/>
          <w:szCs w:val="32"/>
        </w:rPr>
        <w:t>16.30</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w:t>
      </w:r>
      <w:r w:rsidR="00C14FC9">
        <w:rPr>
          <w:rFonts w:ascii="仿宋_GB2312" w:eastAsia="仿宋_GB2312" w:hint="eastAsia"/>
          <w:sz w:val="32"/>
          <w:szCs w:val="32"/>
        </w:rPr>
        <w:t>1</w:t>
      </w:r>
      <w:r>
        <w:rPr>
          <w:rFonts w:ascii="仿宋_GB2312" w:eastAsia="仿宋_GB2312" w:hint="eastAsia"/>
          <w:sz w:val="32"/>
          <w:szCs w:val="32"/>
        </w:rPr>
        <w:t>年</w:t>
      </w:r>
      <w:r w:rsidR="00C14FC9">
        <w:rPr>
          <w:rFonts w:ascii="仿宋_GB2312" w:eastAsia="仿宋_GB2312" w:hint="eastAsia"/>
          <w:sz w:val="32"/>
          <w:szCs w:val="32"/>
        </w:rPr>
        <w:t>减少6.31</w:t>
      </w:r>
      <w:r>
        <w:rPr>
          <w:rFonts w:ascii="仿宋_GB2312" w:eastAsia="仿宋_GB2312" w:hint="eastAsia"/>
          <w:sz w:val="32"/>
          <w:szCs w:val="32"/>
        </w:rPr>
        <w:t>万元，</w:t>
      </w:r>
      <w:r w:rsidR="00AD314F">
        <w:rPr>
          <w:rFonts w:ascii="仿宋_GB2312" w:eastAsia="仿宋_GB2312" w:hint="eastAsia"/>
          <w:sz w:val="32"/>
          <w:szCs w:val="32"/>
        </w:rPr>
        <w:t>下降</w:t>
      </w:r>
      <w:r w:rsidR="00C14FC9">
        <w:rPr>
          <w:rFonts w:ascii="仿宋_GB2312" w:eastAsia="仿宋_GB2312" w:hint="eastAsia"/>
          <w:sz w:val="32"/>
          <w:szCs w:val="32"/>
        </w:rPr>
        <w:t>27.91</w:t>
      </w:r>
      <w:r>
        <w:rPr>
          <w:rFonts w:ascii="仿宋_GB2312" w:eastAsia="仿宋_GB2312"/>
          <w:sz w:val="32"/>
          <w:szCs w:val="32"/>
        </w:rPr>
        <w:t>%</w:t>
      </w:r>
      <w:r>
        <w:rPr>
          <w:rFonts w:ascii="仿宋_GB2312" w:eastAsia="仿宋_GB2312" w:hint="eastAsia"/>
          <w:sz w:val="32"/>
          <w:szCs w:val="32"/>
        </w:rPr>
        <w:t>。主要原因</w:t>
      </w:r>
      <w:bookmarkStart w:id="48" w:name="_Toc15377223"/>
      <w:r w:rsidR="00D170E9">
        <w:rPr>
          <w:rFonts w:ascii="仿宋_GB2312" w:eastAsia="仿宋_GB2312" w:hAnsi="仿宋" w:hint="eastAsia"/>
          <w:sz w:val="32"/>
          <w:szCs w:val="32"/>
        </w:rPr>
        <w:t>是调出人员1人，导致相关经费减少。</w:t>
      </w:r>
    </w:p>
    <w:p w:rsidR="00F8018B" w:rsidRDefault="00E11388" w:rsidP="00D170E9">
      <w:pPr>
        <w:spacing w:line="600" w:lineRule="exact"/>
        <w:ind w:firstLineChars="200" w:firstLine="643"/>
        <w:rPr>
          <w:rFonts w:ascii="仿宋" w:eastAsia="仿宋" w:hAnsi="仿宋"/>
          <w:b/>
          <w:sz w:val="32"/>
          <w:szCs w:val="32"/>
        </w:rPr>
      </w:pPr>
      <w:r>
        <w:rPr>
          <w:rFonts w:ascii="仿宋" w:eastAsia="仿宋" w:hAnsi="仿宋" w:hint="eastAsia"/>
          <w:b/>
          <w:sz w:val="32"/>
          <w:szCs w:val="32"/>
        </w:rPr>
        <w:t>（二）政府采购支出情况</w:t>
      </w:r>
      <w:bookmarkEnd w:id="48"/>
    </w:p>
    <w:p w:rsidR="00F8018B" w:rsidRDefault="00E11388">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D170E9">
        <w:rPr>
          <w:rFonts w:ascii="仿宋_GB2312" w:eastAsia="仿宋_GB2312" w:hint="eastAsia"/>
          <w:sz w:val="32"/>
          <w:szCs w:val="32"/>
        </w:rPr>
        <w:t>2</w:t>
      </w:r>
      <w:r>
        <w:rPr>
          <w:rFonts w:ascii="仿宋_GB2312" w:eastAsia="仿宋_GB2312" w:hint="eastAsia"/>
          <w:sz w:val="32"/>
          <w:szCs w:val="32"/>
        </w:rPr>
        <w:t>年，四川省政法研究所政府采购支出总额0万元，其中：政府采购货物支出0万元、政府采购工程支出0万元、政府采购服务支出0万元。授予中小企业合同金额0万元，占政府采购支出总额的0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rsidR="00F8018B" w:rsidRDefault="00E11388">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F8018B" w:rsidRDefault="00E11388">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w:t>
      </w:r>
      <w:r w:rsidR="00D170E9">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日，四川省政法研究所共有车辆0辆，其中：主要领导干部用车0辆、机要通信用车0辆、应急保障用车0辆、其他用车0辆。单价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F8018B" w:rsidRDefault="00E1138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D170E9" w:rsidRDefault="00D170E9" w:rsidP="00D170E9">
      <w:pPr>
        <w:pStyle w:val="a0"/>
        <w:spacing w:before="93"/>
        <w:ind w:firstLineChars="200" w:firstLine="640"/>
        <w:rPr>
          <w:highlight w:val="yellow"/>
        </w:rPr>
      </w:pPr>
      <w:r>
        <w:rPr>
          <w:rFonts w:hAnsi="仿宋_GB2312" w:cs="仿宋_GB2312" w:hint="eastAsia"/>
          <w:sz w:val="32"/>
          <w:szCs w:val="32"/>
        </w:rPr>
        <w:t>根据预算绩效管理要求，本单位在2022年度预算编制阶段，组织对6个项目编制了绩效目标，预算执行过程中，选取6个项目开展绩效监控。鉴于</w:t>
      </w:r>
      <w:r w:rsidRPr="00A727AB">
        <w:rPr>
          <w:rFonts w:hint="eastAsia"/>
          <w:sz w:val="32"/>
          <w:szCs w:val="32"/>
        </w:rPr>
        <w:t>202</w:t>
      </w:r>
      <w:r>
        <w:rPr>
          <w:rFonts w:hint="eastAsia"/>
          <w:sz w:val="32"/>
          <w:szCs w:val="32"/>
        </w:rPr>
        <w:t>2</w:t>
      </w:r>
      <w:r w:rsidRPr="00A727AB">
        <w:rPr>
          <w:rFonts w:hint="eastAsia"/>
          <w:sz w:val="32"/>
          <w:szCs w:val="32"/>
        </w:rPr>
        <w:t>年</w:t>
      </w:r>
      <w:r>
        <w:rPr>
          <w:rFonts w:hint="eastAsia"/>
          <w:sz w:val="32"/>
          <w:szCs w:val="32"/>
        </w:rPr>
        <w:t>四川省政法研究</w:t>
      </w:r>
      <w:r>
        <w:rPr>
          <w:rFonts w:hint="eastAsia"/>
          <w:sz w:val="32"/>
          <w:szCs w:val="32"/>
        </w:rPr>
        <w:lastRenderedPageBreak/>
        <w:t>所</w:t>
      </w:r>
      <w:r w:rsidRPr="00A727AB">
        <w:rPr>
          <w:rFonts w:hint="eastAsia"/>
          <w:sz w:val="32"/>
          <w:szCs w:val="32"/>
        </w:rPr>
        <w:t>未安排</w:t>
      </w:r>
      <w:r w:rsidRPr="00A727AB">
        <w:rPr>
          <w:rFonts w:hAnsi="仿宋_GB2312" w:cs="仿宋_GB2312" w:hint="eastAsia"/>
          <w:sz w:val="32"/>
          <w:szCs w:val="32"/>
        </w:rPr>
        <w:t>特定目标类部门预算项目，故不涉及预算</w:t>
      </w:r>
      <w:r>
        <w:rPr>
          <w:rFonts w:hAnsi="仿宋_GB2312" w:cs="仿宋_GB2312" w:hint="eastAsia"/>
          <w:sz w:val="32"/>
          <w:szCs w:val="32"/>
        </w:rPr>
        <w:t>项目</w:t>
      </w:r>
      <w:r w:rsidRPr="00A727AB">
        <w:rPr>
          <w:rFonts w:hAnsi="仿宋_GB2312" w:cs="仿宋_GB2312" w:hint="eastAsia"/>
          <w:sz w:val="32"/>
          <w:szCs w:val="32"/>
        </w:rPr>
        <w:t>绩效</w:t>
      </w:r>
      <w:r>
        <w:rPr>
          <w:rFonts w:hAnsi="仿宋_GB2312" w:cs="仿宋_GB2312" w:hint="eastAsia"/>
          <w:sz w:val="32"/>
          <w:szCs w:val="32"/>
        </w:rPr>
        <w:t>自评</w:t>
      </w:r>
      <w:r w:rsidRPr="00A727AB">
        <w:rPr>
          <w:rFonts w:hAnsi="仿宋_GB2312" w:cs="仿宋_GB2312" w:hint="eastAsia"/>
          <w:sz w:val="32"/>
          <w:szCs w:val="32"/>
        </w:rPr>
        <w:t>。</w:t>
      </w:r>
    </w:p>
    <w:p w:rsidR="00F8018B" w:rsidRPr="00D170E9" w:rsidRDefault="00F8018B">
      <w:pPr>
        <w:pStyle w:val="a0"/>
        <w:spacing w:before="93"/>
      </w:pPr>
    </w:p>
    <w:p w:rsidR="00D170E9" w:rsidRDefault="00D170E9">
      <w:pPr>
        <w:pStyle w:val="a0"/>
        <w:spacing w:before="93"/>
      </w:pPr>
    </w:p>
    <w:p w:rsidR="00D170E9" w:rsidRDefault="00D170E9">
      <w:pPr>
        <w:pStyle w:val="a0"/>
        <w:spacing w:before="93"/>
      </w:pPr>
    </w:p>
    <w:p w:rsidR="00D170E9" w:rsidRDefault="00D170E9">
      <w:pPr>
        <w:pStyle w:val="a0"/>
        <w:spacing w:before="93"/>
      </w:pPr>
    </w:p>
    <w:p w:rsidR="00D170E9" w:rsidRDefault="00D170E9">
      <w:pPr>
        <w:pStyle w:val="a0"/>
        <w:spacing w:before="93"/>
      </w:pPr>
    </w:p>
    <w:p w:rsidR="00D170E9" w:rsidRDefault="00D170E9">
      <w:pPr>
        <w:pStyle w:val="a0"/>
        <w:spacing w:before="93"/>
      </w:pPr>
    </w:p>
    <w:p w:rsidR="00D170E9" w:rsidRDefault="00D170E9">
      <w:pPr>
        <w:pStyle w:val="a0"/>
        <w:spacing w:before="93"/>
      </w:pPr>
    </w:p>
    <w:p w:rsidR="00D170E9" w:rsidRDefault="00D170E9">
      <w:pPr>
        <w:pStyle w:val="a0"/>
        <w:spacing w:before="93"/>
      </w:pPr>
    </w:p>
    <w:p w:rsidR="00D07FF9" w:rsidRDefault="00D07FF9">
      <w:pPr>
        <w:pStyle w:val="a0"/>
        <w:spacing w:before="93"/>
      </w:pPr>
    </w:p>
    <w:p w:rsidR="00D07FF9" w:rsidRDefault="00D07FF9">
      <w:pPr>
        <w:pStyle w:val="a0"/>
        <w:spacing w:before="93"/>
      </w:pPr>
    </w:p>
    <w:p w:rsidR="00D07FF9" w:rsidRDefault="00D07FF9">
      <w:pPr>
        <w:pStyle w:val="a0"/>
        <w:spacing w:before="93"/>
      </w:pPr>
    </w:p>
    <w:p w:rsidR="00D07FF9" w:rsidRDefault="00D07FF9">
      <w:pPr>
        <w:pStyle w:val="a0"/>
        <w:spacing w:before="93"/>
      </w:pPr>
    </w:p>
    <w:p w:rsidR="00D07FF9" w:rsidRDefault="00D07FF9">
      <w:pPr>
        <w:pStyle w:val="a0"/>
        <w:spacing w:before="93"/>
      </w:pPr>
    </w:p>
    <w:p w:rsidR="00D07FF9" w:rsidRDefault="00D07FF9">
      <w:pPr>
        <w:pStyle w:val="a0"/>
        <w:spacing w:before="93"/>
      </w:pPr>
    </w:p>
    <w:p w:rsidR="00D07FF9" w:rsidRDefault="00D07FF9">
      <w:pPr>
        <w:pStyle w:val="a0"/>
        <w:spacing w:before="93"/>
      </w:pPr>
    </w:p>
    <w:p w:rsidR="00D07FF9" w:rsidRDefault="00D07FF9">
      <w:pPr>
        <w:pStyle w:val="a0"/>
        <w:spacing w:before="93"/>
      </w:pPr>
    </w:p>
    <w:p w:rsidR="00D07FF9" w:rsidRDefault="00D07FF9">
      <w:pPr>
        <w:pStyle w:val="a0"/>
        <w:spacing w:before="93"/>
      </w:pPr>
    </w:p>
    <w:p w:rsidR="00F8018B" w:rsidRDefault="00E11388">
      <w:pPr>
        <w:numPr>
          <w:ilvl w:val="0"/>
          <w:numId w:val="3"/>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0"/>
      <w:bookmarkEnd w:id="51"/>
    </w:p>
    <w:p w:rsidR="00F8018B" w:rsidRDefault="00F8018B">
      <w:pPr>
        <w:spacing w:line="600" w:lineRule="exact"/>
        <w:jc w:val="left"/>
        <w:rPr>
          <w:rFonts w:ascii="宋体"/>
          <w:b/>
          <w:color w:val="000000"/>
          <w:sz w:val="44"/>
          <w:szCs w:val="44"/>
        </w:rPr>
      </w:pPr>
    </w:p>
    <w:p w:rsidR="00F8018B" w:rsidRDefault="00E11388">
      <w:pPr>
        <w:pStyle w:val="Default"/>
        <w:spacing w:line="580" w:lineRule="exact"/>
        <w:ind w:firstLineChars="200" w:firstLine="640"/>
        <w:jc w:val="both"/>
        <w:rPr>
          <w:rFonts w:ascii="仿宋_GB2312" w:eastAsia="仿宋_GB2312"/>
          <w:sz w:val="32"/>
          <w:szCs w:val="32"/>
        </w:rPr>
      </w:pPr>
      <w:bookmarkStart w:id="52" w:name="_Toc15377226"/>
      <w:r>
        <w:rPr>
          <w:rFonts w:ascii="仿宋_GB2312" w:eastAsia="仿宋_GB2312" w:hint="eastAsia"/>
          <w:sz w:val="32"/>
          <w:szCs w:val="32"/>
        </w:rPr>
        <w:t>1．财政拨款收入：指单位从同级财政部门取得的财政预算资金。</w:t>
      </w:r>
    </w:p>
    <w:p w:rsidR="00F8018B" w:rsidRDefault="00E11388">
      <w:pPr>
        <w:pStyle w:val="Default"/>
        <w:spacing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2．公共安全支出（类）公安（款）行政运行（项）:指主要用于在职在编人员基本工资、津贴补贴，保障机关正常运转的日常公用支出。</w:t>
      </w:r>
      <w:r>
        <w:rPr>
          <w:rFonts w:ascii="仿宋_GB2312" w:eastAsia="仿宋_GB2312" w:cs="Times New Roman" w:hint="eastAsia"/>
          <w:sz w:val="32"/>
          <w:szCs w:val="32"/>
        </w:rPr>
        <w:br/>
      </w:r>
      <w:r>
        <w:rPr>
          <w:rFonts w:ascii="仿宋_GB2312" w:eastAsia="仿宋_GB2312" w:cs="仿宋_GB2312" w:hint="eastAsia"/>
          <w:sz w:val="32"/>
          <w:szCs w:val="32"/>
        </w:rPr>
        <w:t xml:space="preserve">　　3．公共安全支出（类）公安（款）一般行政管理事务（项）:　指主要用于</w:t>
      </w:r>
      <w:r>
        <w:rPr>
          <w:rFonts w:hAnsi="??" w:cs="宋体" w:hint="eastAsia"/>
          <w:sz w:val="32"/>
        </w:rPr>
        <w:t>研究新的历史时期我省维护稳定、加强政法队伍建设、社会治安综合治理、反腐败和严厉打击各种犯罪、司法改革、司法监督等遇到的新情况、新问题，提出对策建议；研究司法实践中的具体法律适用问题，积极提出完善立法建议</w:t>
      </w:r>
      <w:r>
        <w:rPr>
          <w:rFonts w:ascii="仿宋_GB2312" w:eastAsia="仿宋_GB2312" w:cs="仿宋_GB2312" w:hint="eastAsia"/>
          <w:sz w:val="32"/>
          <w:szCs w:val="32"/>
        </w:rPr>
        <w:t>。</w:t>
      </w:r>
      <w:r>
        <w:rPr>
          <w:rFonts w:ascii="仿宋_GB2312" w:eastAsia="仿宋_GB2312" w:cs="Times New Roman" w:hint="eastAsia"/>
          <w:sz w:val="32"/>
          <w:szCs w:val="32"/>
        </w:rPr>
        <w:br/>
      </w:r>
      <w:r>
        <w:rPr>
          <w:rFonts w:ascii="仿宋_GB2312" w:eastAsia="仿宋_GB2312" w:cs="仿宋_GB2312" w:hint="eastAsia"/>
          <w:sz w:val="32"/>
          <w:szCs w:val="32"/>
        </w:rPr>
        <w:t xml:space="preserve">　　4．社会保障和就业支出（类）行政事业单位养老支出（款）机关事业单位基本养老保险缴费支出（项）:指主要用于单位基本养老保险缴费。</w:t>
      </w:r>
    </w:p>
    <w:p w:rsidR="00F8018B" w:rsidRDefault="00E1138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5．卫生健康支出（类）行政事业单位医疗（款）行政单位医疗（项）：指用于单位基本医疗保险缴费。</w:t>
      </w:r>
      <w:r>
        <w:rPr>
          <w:rFonts w:ascii="仿宋_GB2312" w:eastAsia="仿宋_GB2312" w:cs="Times New Roman" w:hint="eastAsia"/>
          <w:sz w:val="32"/>
          <w:szCs w:val="32"/>
        </w:rPr>
        <w:br/>
      </w:r>
      <w:r>
        <w:rPr>
          <w:rFonts w:ascii="仿宋_GB2312" w:eastAsia="仿宋_GB2312" w:cs="仿宋_GB2312" w:hint="eastAsia"/>
          <w:sz w:val="32"/>
          <w:szCs w:val="32"/>
        </w:rPr>
        <w:t xml:space="preserve">　　6．卫生健康支出（类）行政事业单位医疗（款）公务员医疗补助（项）:指用于单位公务员医疗补助。</w:t>
      </w:r>
      <w:r>
        <w:rPr>
          <w:rFonts w:ascii="仿宋_GB2312" w:eastAsia="仿宋_GB2312" w:cs="Times New Roman" w:hint="eastAsia"/>
          <w:sz w:val="32"/>
          <w:szCs w:val="32"/>
        </w:rPr>
        <w:br/>
      </w:r>
      <w:r>
        <w:rPr>
          <w:rFonts w:ascii="仿宋_GB2312" w:eastAsia="仿宋_GB2312" w:cs="仿宋_GB2312" w:hint="eastAsia"/>
          <w:sz w:val="32"/>
          <w:szCs w:val="32"/>
        </w:rPr>
        <w:t xml:space="preserve">　　7．住房保障支出（类）住房改革支出（款）住房公积金（项）:指按照相关政策规定比例为个人缴纳的住房公积金。</w:t>
      </w:r>
      <w:r>
        <w:rPr>
          <w:rFonts w:ascii="仿宋_GB2312" w:eastAsia="仿宋_GB2312" w:cs="Times New Roman" w:hint="eastAsia"/>
          <w:sz w:val="32"/>
          <w:szCs w:val="32"/>
        </w:rPr>
        <w:br/>
      </w:r>
      <w:r>
        <w:rPr>
          <w:rFonts w:ascii="仿宋_GB2312" w:eastAsia="仿宋_GB2312" w:cs="仿宋_GB2312" w:hint="eastAsia"/>
          <w:sz w:val="32"/>
          <w:szCs w:val="32"/>
        </w:rPr>
        <w:lastRenderedPageBreak/>
        <w:t xml:space="preserve">　　8．住房保障支出（类）住房改革支出（款）购房补贴（项）:指按照相关政策规定，向符合条件的个人发放的用于购买住房的补贴。</w:t>
      </w:r>
    </w:p>
    <w:p w:rsidR="00F8018B" w:rsidRDefault="00E11388">
      <w:pPr>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9．基本支出：指为保障机构正常运转、完成日常工作任务而发生的人员支出和公用支出。</w:t>
      </w:r>
    </w:p>
    <w:p w:rsidR="00F8018B" w:rsidRDefault="00E11388">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10．项目支出：指在基本支出之外为完成特定行政任务和事业发展目标所发生的支出。 </w:t>
      </w:r>
    </w:p>
    <w:p w:rsidR="00F8018B" w:rsidRDefault="00E1138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11．机关运行经费：为保障行政单位运行用于服务的各项开支，包括办公费、劳务费、工会经费、福利费以及其他费用。</w:t>
      </w:r>
    </w:p>
    <w:p w:rsidR="00F8018B" w:rsidRDefault="00E11388">
      <w:pPr>
        <w:spacing w:line="600" w:lineRule="exact"/>
        <w:jc w:val="center"/>
        <w:outlineLvl w:val="0"/>
        <w:rPr>
          <w:rStyle w:val="1Char"/>
          <w:rFonts w:ascii="黑体" w:eastAsia="黑体" w:hAnsi="黑体"/>
          <w:b w:val="0"/>
        </w:rPr>
      </w:pPr>
      <w:r>
        <w:rPr>
          <w:rFonts w:ascii="宋体"/>
          <w:b/>
          <w:color w:val="000000"/>
          <w:sz w:val="44"/>
          <w:szCs w:val="44"/>
        </w:rPr>
        <w:br w:type="page"/>
      </w:r>
      <w:bookmarkStart w:id="53"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3"/>
    </w:p>
    <w:p w:rsidR="00F8018B" w:rsidRDefault="00F8018B">
      <w:pPr>
        <w:spacing w:line="580" w:lineRule="exact"/>
        <w:rPr>
          <w:rFonts w:ascii="仿宋_GB2312" w:eastAsia="仿宋_GB2312" w:hAnsi="仿宋_GB2312" w:cs="仿宋_GB2312"/>
          <w:sz w:val="32"/>
          <w:szCs w:val="32"/>
        </w:rPr>
      </w:pPr>
    </w:p>
    <w:p w:rsidR="00F8018B" w:rsidRDefault="00E11388">
      <w:pPr>
        <w:adjustRightInd w:val="0"/>
        <w:snapToGrid w:val="0"/>
        <w:spacing w:line="600" w:lineRule="exact"/>
        <w:ind w:firstLineChars="200" w:firstLine="640"/>
        <w:rPr>
          <w:rFonts w:ascii="仿宋_GB2312" w:eastAsia="仿宋_GB2312" w:hAnsi="宋体"/>
          <w:sz w:val="32"/>
          <w:szCs w:val="32"/>
          <w:lang w:val="zh-CN"/>
        </w:rPr>
      </w:pPr>
      <w:bookmarkStart w:id="54" w:name="_Toc15396618"/>
      <w:r>
        <w:rPr>
          <w:rFonts w:ascii="仿宋_GB2312" w:eastAsia="仿宋_GB2312" w:hAnsi="宋体" w:hint="eastAsia"/>
          <w:sz w:val="32"/>
          <w:szCs w:val="32"/>
          <w:lang w:val="zh-CN"/>
        </w:rPr>
        <w:t>无</w:t>
      </w: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E11388">
      <w:pPr>
        <w:spacing w:line="600" w:lineRule="exact"/>
        <w:jc w:val="center"/>
        <w:outlineLvl w:val="0"/>
        <w:rPr>
          <w:rFonts w:ascii="仿宋" w:eastAsia="仿宋" w:hAnsi="仿宋"/>
          <w:color w:val="00000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Start w:id="55" w:name="_Toc15396619"/>
      <w:bookmarkEnd w:id="52"/>
      <w:bookmarkEnd w:id="54"/>
    </w:p>
    <w:bookmarkEnd w:id="55"/>
    <w:p w:rsidR="00B34D52" w:rsidRPr="00B34D52" w:rsidRDefault="00B34D52" w:rsidP="00B34D52">
      <w:pPr>
        <w:spacing w:line="600" w:lineRule="exact"/>
        <w:outlineLvl w:val="0"/>
        <w:rPr>
          <w:rStyle w:val="2Char"/>
          <w:rFonts w:ascii="仿宋" w:eastAsia="仿宋" w:hAnsi="仿宋"/>
          <w:b w:val="0"/>
        </w:rPr>
      </w:pPr>
      <w:r w:rsidRPr="00B34D52">
        <w:rPr>
          <w:rStyle w:val="2Char"/>
          <w:rFonts w:ascii="仿宋" w:eastAsia="仿宋" w:hAnsi="仿宋" w:hint="eastAsia"/>
          <w:b w:val="0"/>
        </w:rPr>
        <w:t>一、收入支出决算总表</w:t>
      </w:r>
      <w:bookmarkStart w:id="56" w:name="_Toc15396620"/>
    </w:p>
    <w:p w:rsidR="00B34D52" w:rsidRPr="00B34D52" w:rsidRDefault="00B34D52" w:rsidP="00B34D52">
      <w:pPr>
        <w:spacing w:line="600" w:lineRule="exact"/>
        <w:outlineLvl w:val="0"/>
        <w:rPr>
          <w:rStyle w:val="2Char"/>
          <w:rFonts w:ascii="仿宋" w:eastAsia="仿宋" w:hAnsi="仿宋"/>
          <w:b w:val="0"/>
        </w:rPr>
      </w:pPr>
      <w:r w:rsidRPr="00B34D52">
        <w:rPr>
          <w:rStyle w:val="2Char"/>
          <w:rFonts w:ascii="仿宋" w:eastAsia="仿宋" w:hAnsi="仿宋" w:hint="eastAsia"/>
          <w:b w:val="0"/>
        </w:rPr>
        <w:t>二、收入决算表</w:t>
      </w:r>
      <w:bookmarkEnd w:id="56"/>
    </w:p>
    <w:p w:rsidR="00B34D52" w:rsidRPr="00B34D52" w:rsidRDefault="00B34D52" w:rsidP="00B34D52">
      <w:pPr>
        <w:spacing w:line="600" w:lineRule="exact"/>
        <w:outlineLvl w:val="0"/>
        <w:rPr>
          <w:rStyle w:val="2Char"/>
          <w:rFonts w:ascii="仿宋" w:eastAsia="仿宋" w:hAnsi="仿宋"/>
          <w:b w:val="0"/>
        </w:rPr>
      </w:pPr>
      <w:bookmarkStart w:id="57" w:name="_Toc15396621"/>
      <w:r w:rsidRPr="00B34D52">
        <w:rPr>
          <w:rStyle w:val="2Char"/>
          <w:rFonts w:ascii="仿宋" w:eastAsia="仿宋" w:hAnsi="仿宋" w:hint="eastAsia"/>
          <w:b w:val="0"/>
        </w:rPr>
        <w:t>三、支出决算表</w:t>
      </w:r>
      <w:bookmarkEnd w:id="57"/>
    </w:p>
    <w:p w:rsidR="00B34D52" w:rsidRPr="00B34D52" w:rsidRDefault="00B34D52" w:rsidP="00B34D52">
      <w:pPr>
        <w:spacing w:line="600" w:lineRule="exact"/>
        <w:outlineLvl w:val="0"/>
        <w:rPr>
          <w:rStyle w:val="2Char"/>
          <w:rFonts w:ascii="仿宋" w:eastAsia="仿宋" w:hAnsi="仿宋"/>
          <w:b w:val="0"/>
        </w:rPr>
      </w:pPr>
      <w:bookmarkStart w:id="58" w:name="_Toc15396622"/>
      <w:r w:rsidRPr="00B34D52">
        <w:rPr>
          <w:rStyle w:val="2Char"/>
          <w:rFonts w:ascii="仿宋" w:eastAsia="仿宋" w:hAnsi="仿宋" w:hint="eastAsia"/>
          <w:b w:val="0"/>
        </w:rPr>
        <w:t>四、财政拨款收入支出决算总表</w:t>
      </w:r>
      <w:bookmarkEnd w:id="58"/>
    </w:p>
    <w:p w:rsidR="00B34D52" w:rsidRPr="00B34D52" w:rsidRDefault="00B34D52" w:rsidP="00B34D52">
      <w:pPr>
        <w:spacing w:line="600" w:lineRule="exact"/>
        <w:outlineLvl w:val="0"/>
        <w:rPr>
          <w:rStyle w:val="2Char"/>
          <w:rFonts w:ascii="仿宋" w:eastAsia="仿宋" w:hAnsi="仿宋"/>
          <w:b w:val="0"/>
        </w:rPr>
      </w:pPr>
      <w:bookmarkStart w:id="59" w:name="_Toc15396623"/>
      <w:r w:rsidRPr="00B34D52">
        <w:rPr>
          <w:rStyle w:val="2Char"/>
          <w:rFonts w:ascii="仿宋" w:eastAsia="仿宋" w:hAnsi="仿宋" w:hint="eastAsia"/>
          <w:b w:val="0"/>
        </w:rPr>
        <w:t>五、财政拨款支出决算明细表</w:t>
      </w:r>
      <w:bookmarkStart w:id="60" w:name="_Toc15396624"/>
      <w:bookmarkEnd w:id="59"/>
    </w:p>
    <w:p w:rsidR="00B34D52" w:rsidRPr="00B34D52" w:rsidRDefault="00B34D52" w:rsidP="00B34D52">
      <w:pPr>
        <w:spacing w:line="600" w:lineRule="exact"/>
        <w:outlineLvl w:val="0"/>
        <w:rPr>
          <w:rStyle w:val="2Char"/>
          <w:rFonts w:ascii="仿宋" w:eastAsia="仿宋" w:hAnsi="仿宋"/>
          <w:b w:val="0"/>
        </w:rPr>
      </w:pPr>
      <w:r w:rsidRPr="00B34D52">
        <w:rPr>
          <w:rStyle w:val="2Char"/>
          <w:rFonts w:ascii="仿宋" w:eastAsia="仿宋" w:hAnsi="仿宋" w:hint="eastAsia"/>
          <w:b w:val="0"/>
        </w:rPr>
        <w:t>六、一般公共预算财政拨款支出决算表</w:t>
      </w:r>
      <w:bookmarkEnd w:id="60"/>
    </w:p>
    <w:p w:rsidR="00B34D52" w:rsidRPr="00B34D52" w:rsidRDefault="00B34D52" w:rsidP="00B34D52">
      <w:pPr>
        <w:spacing w:line="600" w:lineRule="exact"/>
        <w:outlineLvl w:val="0"/>
        <w:rPr>
          <w:rStyle w:val="2Char"/>
          <w:rFonts w:ascii="仿宋" w:eastAsia="仿宋" w:hAnsi="仿宋"/>
          <w:b w:val="0"/>
        </w:rPr>
      </w:pPr>
      <w:bookmarkStart w:id="61" w:name="_Toc15396625"/>
      <w:r w:rsidRPr="00B34D52">
        <w:rPr>
          <w:rStyle w:val="2Char"/>
          <w:rFonts w:ascii="仿宋" w:eastAsia="仿宋" w:hAnsi="仿宋" w:hint="eastAsia"/>
          <w:b w:val="0"/>
        </w:rPr>
        <w:t>七、一般公共预算财政拨款支出决算明细表</w:t>
      </w:r>
      <w:bookmarkEnd w:id="61"/>
    </w:p>
    <w:p w:rsidR="00B34D52" w:rsidRPr="00B34D52" w:rsidRDefault="00B34D52" w:rsidP="00B34D52">
      <w:pPr>
        <w:spacing w:line="600" w:lineRule="exact"/>
        <w:outlineLvl w:val="0"/>
        <w:rPr>
          <w:rStyle w:val="2Char"/>
          <w:rFonts w:ascii="仿宋" w:eastAsia="仿宋" w:hAnsi="仿宋"/>
          <w:b w:val="0"/>
        </w:rPr>
      </w:pPr>
      <w:bookmarkStart w:id="62" w:name="_Toc15396626"/>
      <w:r w:rsidRPr="00B34D52">
        <w:rPr>
          <w:rStyle w:val="2Char"/>
          <w:rFonts w:ascii="仿宋" w:eastAsia="仿宋" w:hAnsi="仿宋" w:hint="eastAsia"/>
          <w:b w:val="0"/>
        </w:rPr>
        <w:t>八、一般公共预算财政拨款基本支出决算</w:t>
      </w:r>
      <w:r w:rsidR="000060BF">
        <w:rPr>
          <w:rStyle w:val="2Char"/>
          <w:rFonts w:ascii="仿宋" w:eastAsia="仿宋" w:hAnsi="仿宋" w:hint="eastAsia"/>
          <w:b w:val="0"/>
        </w:rPr>
        <w:t>明细</w:t>
      </w:r>
      <w:r w:rsidRPr="00B34D52">
        <w:rPr>
          <w:rStyle w:val="2Char"/>
          <w:rFonts w:ascii="仿宋" w:eastAsia="仿宋" w:hAnsi="仿宋" w:hint="eastAsia"/>
          <w:b w:val="0"/>
        </w:rPr>
        <w:t>表</w:t>
      </w:r>
      <w:bookmarkEnd w:id="62"/>
    </w:p>
    <w:p w:rsidR="00B34D52" w:rsidRPr="00B34D52" w:rsidRDefault="00B34D52" w:rsidP="00B34D52">
      <w:pPr>
        <w:spacing w:line="600" w:lineRule="exact"/>
        <w:outlineLvl w:val="0"/>
        <w:rPr>
          <w:rStyle w:val="2Char"/>
          <w:rFonts w:ascii="仿宋" w:eastAsia="仿宋" w:hAnsi="仿宋"/>
          <w:b w:val="0"/>
        </w:rPr>
      </w:pPr>
      <w:bookmarkStart w:id="63" w:name="_Toc15396627"/>
      <w:r w:rsidRPr="00B34D52">
        <w:rPr>
          <w:rStyle w:val="2Char"/>
          <w:rFonts w:ascii="仿宋" w:eastAsia="仿宋" w:hAnsi="仿宋" w:hint="eastAsia"/>
          <w:b w:val="0"/>
        </w:rPr>
        <w:t>九、一般公共预算财政拨款项目支出决算表</w:t>
      </w:r>
      <w:bookmarkEnd w:id="63"/>
    </w:p>
    <w:p w:rsidR="00B34D52" w:rsidRPr="00B34D52" w:rsidRDefault="00B34D52" w:rsidP="00B34D52">
      <w:pPr>
        <w:spacing w:line="600" w:lineRule="exact"/>
        <w:outlineLvl w:val="0"/>
        <w:rPr>
          <w:rStyle w:val="2Char"/>
          <w:rFonts w:ascii="仿宋" w:eastAsia="仿宋" w:hAnsi="仿宋"/>
          <w:b w:val="0"/>
        </w:rPr>
      </w:pPr>
      <w:bookmarkStart w:id="64" w:name="_Toc15396629"/>
      <w:r w:rsidRPr="00B34D52">
        <w:rPr>
          <w:rStyle w:val="2Char"/>
          <w:rFonts w:ascii="仿宋" w:eastAsia="仿宋" w:hAnsi="仿宋" w:hint="eastAsia"/>
          <w:b w:val="0"/>
        </w:rPr>
        <w:t>十、政府性基金预算财政拨款收入支出决算表</w:t>
      </w:r>
      <w:bookmarkEnd w:id="64"/>
    </w:p>
    <w:p w:rsidR="00B34D52" w:rsidRPr="00B34D52" w:rsidRDefault="00B34D52" w:rsidP="00B34D52">
      <w:pPr>
        <w:spacing w:line="600" w:lineRule="exact"/>
        <w:outlineLvl w:val="0"/>
        <w:rPr>
          <w:rStyle w:val="2Char"/>
          <w:rFonts w:ascii="仿宋" w:eastAsia="仿宋" w:hAnsi="仿宋"/>
          <w:b w:val="0"/>
        </w:rPr>
      </w:pPr>
      <w:bookmarkStart w:id="65" w:name="_Toc15396631"/>
      <w:r w:rsidRPr="00B34D52">
        <w:rPr>
          <w:rStyle w:val="2Char"/>
          <w:rFonts w:ascii="仿宋" w:eastAsia="仿宋" w:hAnsi="仿宋" w:hint="eastAsia"/>
          <w:b w:val="0"/>
        </w:rPr>
        <w:t>十一、国有资本经营预算财政拨款收入支出决算表</w:t>
      </w:r>
      <w:bookmarkEnd w:id="65"/>
    </w:p>
    <w:p w:rsidR="00B34D52" w:rsidRPr="00B34D52" w:rsidRDefault="00B34D52" w:rsidP="00B34D52">
      <w:pPr>
        <w:spacing w:line="600" w:lineRule="exact"/>
        <w:outlineLvl w:val="0"/>
        <w:rPr>
          <w:rStyle w:val="2Char"/>
          <w:rFonts w:ascii="仿宋" w:eastAsia="仿宋" w:hAnsi="仿宋"/>
          <w:b w:val="0"/>
        </w:rPr>
      </w:pPr>
      <w:r w:rsidRPr="00B34D52">
        <w:rPr>
          <w:rStyle w:val="2Char"/>
          <w:rFonts w:ascii="仿宋" w:eastAsia="仿宋" w:hAnsi="仿宋" w:hint="eastAsia"/>
          <w:b w:val="0"/>
        </w:rPr>
        <w:t>十二、国有资本经营预算财政拨款支出决算表</w:t>
      </w:r>
    </w:p>
    <w:p w:rsidR="00B34D52" w:rsidRPr="00B34D52" w:rsidRDefault="00B34D52" w:rsidP="00B34D52">
      <w:pPr>
        <w:spacing w:line="600" w:lineRule="exact"/>
        <w:outlineLvl w:val="0"/>
        <w:rPr>
          <w:rStyle w:val="2Char"/>
          <w:rFonts w:ascii="仿宋" w:eastAsia="仿宋" w:hAnsi="仿宋"/>
          <w:b w:val="0"/>
        </w:rPr>
      </w:pPr>
      <w:r w:rsidRPr="00B34D52">
        <w:rPr>
          <w:rStyle w:val="2Char"/>
          <w:rFonts w:ascii="仿宋" w:eastAsia="仿宋" w:hAnsi="仿宋" w:hint="eastAsia"/>
          <w:b w:val="0"/>
        </w:rPr>
        <w:t>十三、财政拨款“三公”经费支出决算表</w:t>
      </w:r>
    </w:p>
    <w:p w:rsidR="00F8018B" w:rsidRPr="00B34D52" w:rsidRDefault="00F8018B" w:rsidP="00B34D52">
      <w:pPr>
        <w:pStyle w:val="2"/>
        <w:rPr>
          <w:rFonts w:eastAsia="仿宋"/>
        </w:rPr>
      </w:pPr>
    </w:p>
    <w:sectPr w:rsidR="00F8018B" w:rsidRPr="00B34D52" w:rsidSect="00F8018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6C" w:rsidRDefault="005D136C" w:rsidP="00F8018B">
      <w:r>
        <w:separator/>
      </w:r>
    </w:p>
  </w:endnote>
  <w:endnote w:type="continuationSeparator" w:id="0">
    <w:p w:rsidR="005D136C" w:rsidRDefault="005D136C" w:rsidP="00F80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8018B" w:rsidRDefault="00D551D9">
        <w:pPr>
          <w:pStyle w:val="a5"/>
          <w:jc w:val="center"/>
        </w:pPr>
        <w:r>
          <w:fldChar w:fldCharType="begin"/>
        </w:r>
        <w:r w:rsidR="00E11388">
          <w:instrText>PAGE   \* MERGEFORMAT</w:instrText>
        </w:r>
        <w:r>
          <w:fldChar w:fldCharType="separate"/>
        </w:r>
        <w:r w:rsidR="00AD314F" w:rsidRPr="00AD314F">
          <w:rPr>
            <w:noProof/>
            <w:lang w:val="zh-CN"/>
          </w:rPr>
          <w:t>12</w:t>
        </w:r>
        <w:r>
          <w:fldChar w:fldCharType="end"/>
        </w:r>
      </w:p>
    </w:sdtContent>
  </w:sdt>
  <w:p w:rsidR="00F8018B" w:rsidRDefault="00F801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6C" w:rsidRDefault="005D136C" w:rsidP="00F8018B">
      <w:r>
        <w:separator/>
      </w:r>
    </w:p>
  </w:footnote>
  <w:footnote w:type="continuationSeparator" w:id="0">
    <w:p w:rsidR="005D136C" w:rsidRDefault="005D136C" w:rsidP="00F8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8B" w:rsidRDefault="00F8018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080262D"/>
    <w:multiLevelType w:val="multilevel"/>
    <w:tmpl w:val="793A02A0"/>
    <w:lvl w:ilvl="0">
      <w:start w:val="1"/>
      <w:numFmt w:val="japaneseCounting"/>
      <w:lvlText w:val="%1、"/>
      <w:lvlJc w:val="left"/>
      <w:pPr>
        <w:ind w:left="1360" w:hanging="72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60BF"/>
    <w:rsid w:val="0002077E"/>
    <w:rsid w:val="00020DB6"/>
    <w:rsid w:val="000222C6"/>
    <w:rsid w:val="0002549F"/>
    <w:rsid w:val="00025F0B"/>
    <w:rsid w:val="000300AD"/>
    <w:rsid w:val="00033A47"/>
    <w:rsid w:val="000402E6"/>
    <w:rsid w:val="000432BC"/>
    <w:rsid w:val="000468DB"/>
    <w:rsid w:val="0005258B"/>
    <w:rsid w:val="000621B7"/>
    <w:rsid w:val="0006487A"/>
    <w:rsid w:val="00065F8F"/>
    <w:rsid w:val="00070A43"/>
    <w:rsid w:val="000768F2"/>
    <w:rsid w:val="0008069A"/>
    <w:rsid w:val="00081899"/>
    <w:rsid w:val="0009184B"/>
    <w:rsid w:val="000940B4"/>
    <w:rsid w:val="00094236"/>
    <w:rsid w:val="0009593C"/>
    <w:rsid w:val="00095CA4"/>
    <w:rsid w:val="00097322"/>
    <w:rsid w:val="000A6A92"/>
    <w:rsid w:val="000B047F"/>
    <w:rsid w:val="000B5923"/>
    <w:rsid w:val="000B5A48"/>
    <w:rsid w:val="000B6FF3"/>
    <w:rsid w:val="000C3467"/>
    <w:rsid w:val="000C3CA6"/>
    <w:rsid w:val="000D1267"/>
    <w:rsid w:val="000D1D50"/>
    <w:rsid w:val="000D55C0"/>
    <w:rsid w:val="000D5782"/>
    <w:rsid w:val="000D7411"/>
    <w:rsid w:val="000E6613"/>
    <w:rsid w:val="000E7119"/>
    <w:rsid w:val="000E78D3"/>
    <w:rsid w:val="00106FCF"/>
    <w:rsid w:val="00114E9B"/>
    <w:rsid w:val="00122A8A"/>
    <w:rsid w:val="0012347A"/>
    <w:rsid w:val="0012699F"/>
    <w:rsid w:val="00142216"/>
    <w:rsid w:val="00144D6A"/>
    <w:rsid w:val="00144EF4"/>
    <w:rsid w:val="0014729F"/>
    <w:rsid w:val="00157BAB"/>
    <w:rsid w:val="001612CA"/>
    <w:rsid w:val="001654D1"/>
    <w:rsid w:val="00174518"/>
    <w:rsid w:val="0018106D"/>
    <w:rsid w:val="0018118B"/>
    <w:rsid w:val="001871CD"/>
    <w:rsid w:val="001877A7"/>
    <w:rsid w:val="00191536"/>
    <w:rsid w:val="00196687"/>
    <w:rsid w:val="001C0962"/>
    <w:rsid w:val="001C5707"/>
    <w:rsid w:val="001C74C9"/>
    <w:rsid w:val="001D7531"/>
    <w:rsid w:val="001E737D"/>
    <w:rsid w:val="001F0592"/>
    <w:rsid w:val="001F7506"/>
    <w:rsid w:val="002006CD"/>
    <w:rsid w:val="00202B36"/>
    <w:rsid w:val="00204B7A"/>
    <w:rsid w:val="00204CDE"/>
    <w:rsid w:val="0021101A"/>
    <w:rsid w:val="00220536"/>
    <w:rsid w:val="00235629"/>
    <w:rsid w:val="0025702F"/>
    <w:rsid w:val="00260C38"/>
    <w:rsid w:val="002616C0"/>
    <w:rsid w:val="002638DC"/>
    <w:rsid w:val="00265372"/>
    <w:rsid w:val="002662AA"/>
    <w:rsid w:val="00276EBA"/>
    <w:rsid w:val="00280496"/>
    <w:rsid w:val="00294DC9"/>
    <w:rsid w:val="00295495"/>
    <w:rsid w:val="002A31DE"/>
    <w:rsid w:val="002B2613"/>
    <w:rsid w:val="002D5A98"/>
    <w:rsid w:val="002D6D05"/>
    <w:rsid w:val="002F1818"/>
    <w:rsid w:val="002F567B"/>
    <w:rsid w:val="002F7FE8"/>
    <w:rsid w:val="00301D61"/>
    <w:rsid w:val="003216A9"/>
    <w:rsid w:val="00335A74"/>
    <w:rsid w:val="003470CD"/>
    <w:rsid w:val="00353617"/>
    <w:rsid w:val="003601EC"/>
    <w:rsid w:val="0036561B"/>
    <w:rsid w:val="00367415"/>
    <w:rsid w:val="0037013F"/>
    <w:rsid w:val="00380C92"/>
    <w:rsid w:val="00392F8F"/>
    <w:rsid w:val="00397635"/>
    <w:rsid w:val="003A484F"/>
    <w:rsid w:val="003A4883"/>
    <w:rsid w:val="003A648C"/>
    <w:rsid w:val="003B0BE0"/>
    <w:rsid w:val="003B0C1B"/>
    <w:rsid w:val="003B688C"/>
    <w:rsid w:val="003C0291"/>
    <w:rsid w:val="003C180F"/>
    <w:rsid w:val="003C39AE"/>
    <w:rsid w:val="003C7B60"/>
    <w:rsid w:val="003D0C0F"/>
    <w:rsid w:val="003D1FB2"/>
    <w:rsid w:val="003D66DA"/>
    <w:rsid w:val="003E1310"/>
    <w:rsid w:val="003E6F55"/>
    <w:rsid w:val="003F3E2D"/>
    <w:rsid w:val="00406254"/>
    <w:rsid w:val="004223DE"/>
    <w:rsid w:val="0043081F"/>
    <w:rsid w:val="00434489"/>
    <w:rsid w:val="00437085"/>
    <w:rsid w:val="00443880"/>
    <w:rsid w:val="004464F4"/>
    <w:rsid w:val="00471401"/>
    <w:rsid w:val="00473C37"/>
    <w:rsid w:val="00473F31"/>
    <w:rsid w:val="0048263A"/>
    <w:rsid w:val="00487E5D"/>
    <w:rsid w:val="00496319"/>
    <w:rsid w:val="004A711F"/>
    <w:rsid w:val="004B199D"/>
    <w:rsid w:val="004B4690"/>
    <w:rsid w:val="004B599F"/>
    <w:rsid w:val="004C598F"/>
    <w:rsid w:val="004D1FDF"/>
    <w:rsid w:val="004E0A2D"/>
    <w:rsid w:val="004E206B"/>
    <w:rsid w:val="004E6DF7"/>
    <w:rsid w:val="004F0FBD"/>
    <w:rsid w:val="004F6CBB"/>
    <w:rsid w:val="00505A47"/>
    <w:rsid w:val="00512FDA"/>
    <w:rsid w:val="005140EA"/>
    <w:rsid w:val="00520DA0"/>
    <w:rsid w:val="00542D7D"/>
    <w:rsid w:val="00564446"/>
    <w:rsid w:val="005664BB"/>
    <w:rsid w:val="00566FFA"/>
    <w:rsid w:val="005702A0"/>
    <w:rsid w:val="0057481D"/>
    <w:rsid w:val="0058486E"/>
    <w:rsid w:val="00585B33"/>
    <w:rsid w:val="0059014D"/>
    <w:rsid w:val="005B21BA"/>
    <w:rsid w:val="005B5C64"/>
    <w:rsid w:val="005C5337"/>
    <w:rsid w:val="005C6BD0"/>
    <w:rsid w:val="005D02D1"/>
    <w:rsid w:val="005D136C"/>
    <w:rsid w:val="005D1C8B"/>
    <w:rsid w:val="005D36B0"/>
    <w:rsid w:val="005D468D"/>
    <w:rsid w:val="005D5CED"/>
    <w:rsid w:val="005D6071"/>
    <w:rsid w:val="005E518F"/>
    <w:rsid w:val="005F1A4C"/>
    <w:rsid w:val="00605688"/>
    <w:rsid w:val="006070AF"/>
    <w:rsid w:val="00607E6C"/>
    <w:rsid w:val="006101B1"/>
    <w:rsid w:val="00614E44"/>
    <w:rsid w:val="00615FF8"/>
    <w:rsid w:val="0062270A"/>
    <w:rsid w:val="00622830"/>
    <w:rsid w:val="00623DA0"/>
    <w:rsid w:val="00630AEF"/>
    <w:rsid w:val="006325F8"/>
    <w:rsid w:val="00633463"/>
    <w:rsid w:val="00634C9A"/>
    <w:rsid w:val="006440E4"/>
    <w:rsid w:val="00650AE4"/>
    <w:rsid w:val="0066343B"/>
    <w:rsid w:val="00664777"/>
    <w:rsid w:val="0067196C"/>
    <w:rsid w:val="0067234C"/>
    <w:rsid w:val="006748A4"/>
    <w:rsid w:val="00681A31"/>
    <w:rsid w:val="00683E73"/>
    <w:rsid w:val="006A3141"/>
    <w:rsid w:val="006A490B"/>
    <w:rsid w:val="006A5E34"/>
    <w:rsid w:val="006B2422"/>
    <w:rsid w:val="006B2B9A"/>
    <w:rsid w:val="006C1937"/>
    <w:rsid w:val="006E431B"/>
    <w:rsid w:val="006F020C"/>
    <w:rsid w:val="006F3966"/>
    <w:rsid w:val="00702256"/>
    <w:rsid w:val="007067FF"/>
    <w:rsid w:val="007127B7"/>
    <w:rsid w:val="00716D27"/>
    <w:rsid w:val="0071798E"/>
    <w:rsid w:val="00726A56"/>
    <w:rsid w:val="00734260"/>
    <w:rsid w:val="00734462"/>
    <w:rsid w:val="0073485D"/>
    <w:rsid w:val="007416B6"/>
    <w:rsid w:val="007426F0"/>
    <w:rsid w:val="007445AC"/>
    <w:rsid w:val="00746F48"/>
    <w:rsid w:val="0075404D"/>
    <w:rsid w:val="0076182A"/>
    <w:rsid w:val="00767B7E"/>
    <w:rsid w:val="007770C3"/>
    <w:rsid w:val="00784D24"/>
    <w:rsid w:val="00785FBA"/>
    <w:rsid w:val="00786E4A"/>
    <w:rsid w:val="007875EB"/>
    <w:rsid w:val="007913A1"/>
    <w:rsid w:val="0079426B"/>
    <w:rsid w:val="007C2736"/>
    <w:rsid w:val="007D1682"/>
    <w:rsid w:val="007D312A"/>
    <w:rsid w:val="007D3F19"/>
    <w:rsid w:val="007D71C8"/>
    <w:rsid w:val="007E23B0"/>
    <w:rsid w:val="007E23E5"/>
    <w:rsid w:val="007F1991"/>
    <w:rsid w:val="007F2C2F"/>
    <w:rsid w:val="007F55FC"/>
    <w:rsid w:val="007F5665"/>
    <w:rsid w:val="00800112"/>
    <w:rsid w:val="00813348"/>
    <w:rsid w:val="00814D8C"/>
    <w:rsid w:val="00815C53"/>
    <w:rsid w:val="00823F14"/>
    <w:rsid w:val="008253BB"/>
    <w:rsid w:val="00827814"/>
    <w:rsid w:val="0083706E"/>
    <w:rsid w:val="008408F6"/>
    <w:rsid w:val="008413E0"/>
    <w:rsid w:val="0084203E"/>
    <w:rsid w:val="008423A5"/>
    <w:rsid w:val="00850625"/>
    <w:rsid w:val="00853718"/>
    <w:rsid w:val="00855221"/>
    <w:rsid w:val="00855835"/>
    <w:rsid w:val="00860645"/>
    <w:rsid w:val="00871F71"/>
    <w:rsid w:val="00872FD8"/>
    <w:rsid w:val="0088066B"/>
    <w:rsid w:val="00885AF4"/>
    <w:rsid w:val="008939CD"/>
    <w:rsid w:val="0089605C"/>
    <w:rsid w:val="008B768C"/>
    <w:rsid w:val="008B7B52"/>
    <w:rsid w:val="008C24D2"/>
    <w:rsid w:val="008C4DB1"/>
    <w:rsid w:val="008C4EAF"/>
    <w:rsid w:val="008C5176"/>
    <w:rsid w:val="008C7FD0"/>
    <w:rsid w:val="008E1DE7"/>
    <w:rsid w:val="008E707C"/>
    <w:rsid w:val="008F2D8B"/>
    <w:rsid w:val="008F44EE"/>
    <w:rsid w:val="00900B08"/>
    <w:rsid w:val="00902155"/>
    <w:rsid w:val="00902FA3"/>
    <w:rsid w:val="00923564"/>
    <w:rsid w:val="0092392E"/>
    <w:rsid w:val="009310A7"/>
    <w:rsid w:val="009315F9"/>
    <w:rsid w:val="00933499"/>
    <w:rsid w:val="00935C98"/>
    <w:rsid w:val="00946945"/>
    <w:rsid w:val="00947C1D"/>
    <w:rsid w:val="00951248"/>
    <w:rsid w:val="0095152F"/>
    <w:rsid w:val="00954C49"/>
    <w:rsid w:val="00955E37"/>
    <w:rsid w:val="0097099F"/>
    <w:rsid w:val="00971997"/>
    <w:rsid w:val="00971B21"/>
    <w:rsid w:val="00971FFC"/>
    <w:rsid w:val="00973490"/>
    <w:rsid w:val="00982FAC"/>
    <w:rsid w:val="0098660A"/>
    <w:rsid w:val="00986669"/>
    <w:rsid w:val="009931C3"/>
    <w:rsid w:val="009B2C43"/>
    <w:rsid w:val="009B4EAE"/>
    <w:rsid w:val="009B7573"/>
    <w:rsid w:val="009C22F4"/>
    <w:rsid w:val="009C2A4B"/>
    <w:rsid w:val="009C2E98"/>
    <w:rsid w:val="009D3447"/>
    <w:rsid w:val="009D4711"/>
    <w:rsid w:val="009D7431"/>
    <w:rsid w:val="009F1185"/>
    <w:rsid w:val="009F18CD"/>
    <w:rsid w:val="009F2A13"/>
    <w:rsid w:val="009F2F94"/>
    <w:rsid w:val="009F7527"/>
    <w:rsid w:val="00A04EB0"/>
    <w:rsid w:val="00A13CC1"/>
    <w:rsid w:val="00A16847"/>
    <w:rsid w:val="00A2283C"/>
    <w:rsid w:val="00A23618"/>
    <w:rsid w:val="00A237D8"/>
    <w:rsid w:val="00A268C4"/>
    <w:rsid w:val="00A307CD"/>
    <w:rsid w:val="00A331C8"/>
    <w:rsid w:val="00A40A00"/>
    <w:rsid w:val="00A4142F"/>
    <w:rsid w:val="00A422EB"/>
    <w:rsid w:val="00A44AA8"/>
    <w:rsid w:val="00A458FC"/>
    <w:rsid w:val="00A45BB7"/>
    <w:rsid w:val="00A513CD"/>
    <w:rsid w:val="00A52E2E"/>
    <w:rsid w:val="00A56DF2"/>
    <w:rsid w:val="00A56E6E"/>
    <w:rsid w:val="00A624DE"/>
    <w:rsid w:val="00A67AB5"/>
    <w:rsid w:val="00A733B2"/>
    <w:rsid w:val="00A741C2"/>
    <w:rsid w:val="00A91022"/>
    <w:rsid w:val="00A91760"/>
    <w:rsid w:val="00A93B00"/>
    <w:rsid w:val="00A93C21"/>
    <w:rsid w:val="00AB64C9"/>
    <w:rsid w:val="00AC3C6A"/>
    <w:rsid w:val="00AD314F"/>
    <w:rsid w:val="00AD5620"/>
    <w:rsid w:val="00AD656B"/>
    <w:rsid w:val="00AD7C1B"/>
    <w:rsid w:val="00AE16BA"/>
    <w:rsid w:val="00AE1EBE"/>
    <w:rsid w:val="00B03C9D"/>
    <w:rsid w:val="00B060AE"/>
    <w:rsid w:val="00B10517"/>
    <w:rsid w:val="00B1202D"/>
    <w:rsid w:val="00B14E76"/>
    <w:rsid w:val="00B161B8"/>
    <w:rsid w:val="00B2048C"/>
    <w:rsid w:val="00B310B9"/>
    <w:rsid w:val="00B342F4"/>
    <w:rsid w:val="00B34D52"/>
    <w:rsid w:val="00B35F3F"/>
    <w:rsid w:val="00B36CBB"/>
    <w:rsid w:val="00B425E0"/>
    <w:rsid w:val="00B42ED3"/>
    <w:rsid w:val="00B440AA"/>
    <w:rsid w:val="00B44B70"/>
    <w:rsid w:val="00B46A75"/>
    <w:rsid w:val="00B53C56"/>
    <w:rsid w:val="00B57DAF"/>
    <w:rsid w:val="00B65055"/>
    <w:rsid w:val="00B65087"/>
    <w:rsid w:val="00B74982"/>
    <w:rsid w:val="00B77EA6"/>
    <w:rsid w:val="00B801C2"/>
    <w:rsid w:val="00B81598"/>
    <w:rsid w:val="00B8242D"/>
    <w:rsid w:val="00B841F1"/>
    <w:rsid w:val="00B85F4B"/>
    <w:rsid w:val="00B944D6"/>
    <w:rsid w:val="00BA6D51"/>
    <w:rsid w:val="00BB4DF0"/>
    <w:rsid w:val="00BC00E3"/>
    <w:rsid w:val="00BC289F"/>
    <w:rsid w:val="00BC2D50"/>
    <w:rsid w:val="00BC5361"/>
    <w:rsid w:val="00BC5460"/>
    <w:rsid w:val="00BC6B50"/>
    <w:rsid w:val="00BD0E25"/>
    <w:rsid w:val="00BE1FBF"/>
    <w:rsid w:val="00BF5BD6"/>
    <w:rsid w:val="00C03E31"/>
    <w:rsid w:val="00C135A4"/>
    <w:rsid w:val="00C14FC9"/>
    <w:rsid w:val="00C30B28"/>
    <w:rsid w:val="00C33E72"/>
    <w:rsid w:val="00C354B2"/>
    <w:rsid w:val="00C35554"/>
    <w:rsid w:val="00C42709"/>
    <w:rsid w:val="00C533CC"/>
    <w:rsid w:val="00C5751C"/>
    <w:rsid w:val="00C61BFC"/>
    <w:rsid w:val="00C62B85"/>
    <w:rsid w:val="00C65438"/>
    <w:rsid w:val="00C742F6"/>
    <w:rsid w:val="00C87FD8"/>
    <w:rsid w:val="00C91381"/>
    <w:rsid w:val="00C91CBB"/>
    <w:rsid w:val="00CB4E70"/>
    <w:rsid w:val="00CC09B6"/>
    <w:rsid w:val="00CC666F"/>
    <w:rsid w:val="00CD1E3F"/>
    <w:rsid w:val="00CE44F6"/>
    <w:rsid w:val="00CE49DA"/>
    <w:rsid w:val="00CE7B61"/>
    <w:rsid w:val="00CF50FE"/>
    <w:rsid w:val="00D00095"/>
    <w:rsid w:val="00D049E2"/>
    <w:rsid w:val="00D07FF9"/>
    <w:rsid w:val="00D114F0"/>
    <w:rsid w:val="00D12C1C"/>
    <w:rsid w:val="00D167B2"/>
    <w:rsid w:val="00D170E9"/>
    <w:rsid w:val="00D20620"/>
    <w:rsid w:val="00D254F7"/>
    <w:rsid w:val="00D26091"/>
    <w:rsid w:val="00D2685C"/>
    <w:rsid w:val="00D27C1B"/>
    <w:rsid w:val="00D34E7C"/>
    <w:rsid w:val="00D35489"/>
    <w:rsid w:val="00D36AFE"/>
    <w:rsid w:val="00D47C72"/>
    <w:rsid w:val="00D47C78"/>
    <w:rsid w:val="00D51276"/>
    <w:rsid w:val="00D551D9"/>
    <w:rsid w:val="00D5581D"/>
    <w:rsid w:val="00D574D4"/>
    <w:rsid w:val="00D7035F"/>
    <w:rsid w:val="00D7054B"/>
    <w:rsid w:val="00D827F9"/>
    <w:rsid w:val="00DA634F"/>
    <w:rsid w:val="00DA65AC"/>
    <w:rsid w:val="00DB1913"/>
    <w:rsid w:val="00DB1E7F"/>
    <w:rsid w:val="00DC410D"/>
    <w:rsid w:val="00DC5A81"/>
    <w:rsid w:val="00DC68CA"/>
    <w:rsid w:val="00DC7CBA"/>
    <w:rsid w:val="00DD73B7"/>
    <w:rsid w:val="00DF1067"/>
    <w:rsid w:val="00DF28BC"/>
    <w:rsid w:val="00DF34B9"/>
    <w:rsid w:val="00E01053"/>
    <w:rsid w:val="00E07ACF"/>
    <w:rsid w:val="00E11388"/>
    <w:rsid w:val="00E22CB0"/>
    <w:rsid w:val="00E24E76"/>
    <w:rsid w:val="00E331A1"/>
    <w:rsid w:val="00E33202"/>
    <w:rsid w:val="00E336A9"/>
    <w:rsid w:val="00E472B1"/>
    <w:rsid w:val="00E5057F"/>
    <w:rsid w:val="00E50624"/>
    <w:rsid w:val="00E568DF"/>
    <w:rsid w:val="00E6420A"/>
    <w:rsid w:val="00E64269"/>
    <w:rsid w:val="00E72236"/>
    <w:rsid w:val="00E820D3"/>
    <w:rsid w:val="00E82267"/>
    <w:rsid w:val="00E853CE"/>
    <w:rsid w:val="00E867B6"/>
    <w:rsid w:val="00E9068B"/>
    <w:rsid w:val="00EA010F"/>
    <w:rsid w:val="00EA77A7"/>
    <w:rsid w:val="00EC4A16"/>
    <w:rsid w:val="00ED1A89"/>
    <w:rsid w:val="00ED1B63"/>
    <w:rsid w:val="00ED3C1F"/>
    <w:rsid w:val="00ED4085"/>
    <w:rsid w:val="00ED420E"/>
    <w:rsid w:val="00ED6FBE"/>
    <w:rsid w:val="00EE2F57"/>
    <w:rsid w:val="00EE418D"/>
    <w:rsid w:val="00EE5F89"/>
    <w:rsid w:val="00EF4C34"/>
    <w:rsid w:val="00EF77C6"/>
    <w:rsid w:val="00F05438"/>
    <w:rsid w:val="00F1361C"/>
    <w:rsid w:val="00F156F0"/>
    <w:rsid w:val="00F160C7"/>
    <w:rsid w:val="00F2408F"/>
    <w:rsid w:val="00F240E9"/>
    <w:rsid w:val="00F36D8F"/>
    <w:rsid w:val="00F40AD0"/>
    <w:rsid w:val="00F417B1"/>
    <w:rsid w:val="00F45853"/>
    <w:rsid w:val="00F46851"/>
    <w:rsid w:val="00F5332B"/>
    <w:rsid w:val="00F602DF"/>
    <w:rsid w:val="00F70204"/>
    <w:rsid w:val="00F754A1"/>
    <w:rsid w:val="00F8018B"/>
    <w:rsid w:val="00F81FD9"/>
    <w:rsid w:val="00F841AA"/>
    <w:rsid w:val="00F84A94"/>
    <w:rsid w:val="00F87E96"/>
    <w:rsid w:val="00FA23E8"/>
    <w:rsid w:val="00FB135A"/>
    <w:rsid w:val="00FB47DA"/>
    <w:rsid w:val="00FD3CC1"/>
    <w:rsid w:val="00FE3A08"/>
    <w:rsid w:val="00FF0B3B"/>
    <w:rsid w:val="00FF1E02"/>
    <w:rsid w:val="00FF30B4"/>
    <w:rsid w:val="0A2032A3"/>
    <w:rsid w:val="10C055FF"/>
    <w:rsid w:val="118107EC"/>
    <w:rsid w:val="138B6300"/>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018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8018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01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8018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F8018B"/>
    <w:pPr>
      <w:spacing w:beforeLines="30"/>
    </w:pPr>
    <w:rPr>
      <w:rFonts w:ascii="仿宋_GB2312" w:eastAsia="仿宋_GB2312"/>
      <w:kern w:val="0"/>
      <w:sz w:val="30"/>
    </w:rPr>
  </w:style>
  <w:style w:type="paragraph" w:styleId="30">
    <w:name w:val="toc 3"/>
    <w:basedOn w:val="a"/>
    <w:next w:val="a"/>
    <w:uiPriority w:val="39"/>
    <w:unhideWhenUsed/>
    <w:qFormat/>
    <w:rsid w:val="00F8018B"/>
    <w:pPr>
      <w:tabs>
        <w:tab w:val="right" w:leader="dot" w:pos="8296"/>
      </w:tabs>
      <w:ind w:leftChars="400" w:left="840"/>
    </w:pPr>
  </w:style>
  <w:style w:type="paragraph" w:styleId="a4">
    <w:name w:val="Balloon Text"/>
    <w:basedOn w:val="a"/>
    <w:link w:val="Char0"/>
    <w:uiPriority w:val="99"/>
    <w:semiHidden/>
    <w:unhideWhenUsed/>
    <w:qFormat/>
    <w:rsid w:val="00F8018B"/>
    <w:rPr>
      <w:sz w:val="18"/>
      <w:szCs w:val="18"/>
    </w:rPr>
  </w:style>
  <w:style w:type="paragraph" w:styleId="a5">
    <w:name w:val="footer"/>
    <w:basedOn w:val="a"/>
    <w:link w:val="Char1"/>
    <w:uiPriority w:val="99"/>
    <w:qFormat/>
    <w:rsid w:val="00F8018B"/>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F8018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8018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8018B"/>
    <w:pPr>
      <w:tabs>
        <w:tab w:val="right" w:leader="dot" w:pos="8296"/>
      </w:tabs>
      <w:ind w:leftChars="200" w:left="420"/>
    </w:pPr>
  </w:style>
  <w:style w:type="character" w:styleId="a7">
    <w:name w:val="Strong"/>
    <w:basedOn w:val="a1"/>
    <w:uiPriority w:val="99"/>
    <w:qFormat/>
    <w:rsid w:val="00F8018B"/>
    <w:rPr>
      <w:b/>
    </w:rPr>
  </w:style>
  <w:style w:type="character" w:styleId="a8">
    <w:name w:val="Hyperlink"/>
    <w:basedOn w:val="a1"/>
    <w:uiPriority w:val="99"/>
    <w:unhideWhenUsed/>
    <w:qFormat/>
    <w:rsid w:val="00F8018B"/>
    <w:rPr>
      <w:color w:val="0000FF" w:themeColor="hyperlink"/>
      <w:u w:val="single"/>
    </w:rPr>
  </w:style>
  <w:style w:type="character" w:customStyle="1" w:styleId="HeaderChar">
    <w:name w:val="Header Char"/>
    <w:basedOn w:val="a1"/>
    <w:uiPriority w:val="99"/>
    <w:semiHidden/>
    <w:qFormat/>
    <w:rsid w:val="00F8018B"/>
    <w:rPr>
      <w:rFonts w:ascii="Times New Roman" w:hAnsi="Times New Roman"/>
      <w:sz w:val="18"/>
      <w:szCs w:val="18"/>
    </w:rPr>
  </w:style>
  <w:style w:type="character" w:customStyle="1" w:styleId="Char2">
    <w:name w:val="页眉 Char"/>
    <w:link w:val="a6"/>
    <w:uiPriority w:val="99"/>
    <w:semiHidden/>
    <w:qFormat/>
    <w:locked/>
    <w:rsid w:val="00F8018B"/>
    <w:rPr>
      <w:sz w:val="18"/>
    </w:rPr>
  </w:style>
  <w:style w:type="character" w:customStyle="1" w:styleId="FooterChar">
    <w:name w:val="Footer Char"/>
    <w:basedOn w:val="a1"/>
    <w:uiPriority w:val="99"/>
    <w:semiHidden/>
    <w:qFormat/>
    <w:rsid w:val="00F8018B"/>
    <w:rPr>
      <w:rFonts w:ascii="Times New Roman" w:hAnsi="Times New Roman"/>
      <w:sz w:val="18"/>
      <w:szCs w:val="18"/>
    </w:rPr>
  </w:style>
  <w:style w:type="character" w:customStyle="1" w:styleId="Char1">
    <w:name w:val="页脚 Char"/>
    <w:link w:val="a5"/>
    <w:uiPriority w:val="99"/>
    <w:qFormat/>
    <w:locked/>
    <w:rsid w:val="00F8018B"/>
    <w:rPr>
      <w:sz w:val="18"/>
    </w:rPr>
  </w:style>
  <w:style w:type="character" w:customStyle="1" w:styleId="BodyTextChar">
    <w:name w:val="Body Text Char"/>
    <w:basedOn w:val="a1"/>
    <w:uiPriority w:val="99"/>
    <w:semiHidden/>
    <w:qFormat/>
    <w:rsid w:val="00F8018B"/>
    <w:rPr>
      <w:rFonts w:ascii="Times New Roman" w:hAnsi="Times New Roman"/>
      <w:szCs w:val="24"/>
    </w:rPr>
  </w:style>
  <w:style w:type="character" w:customStyle="1" w:styleId="Char">
    <w:name w:val="正文文本 Char"/>
    <w:link w:val="a0"/>
    <w:uiPriority w:val="99"/>
    <w:qFormat/>
    <w:locked/>
    <w:rsid w:val="00F8018B"/>
    <w:rPr>
      <w:rFonts w:ascii="仿宋_GB2312" w:eastAsia="仿宋_GB2312" w:hAnsi="Times New Roman"/>
      <w:sz w:val="24"/>
    </w:rPr>
  </w:style>
  <w:style w:type="paragraph" w:customStyle="1" w:styleId="Default">
    <w:name w:val="Default"/>
    <w:uiPriority w:val="99"/>
    <w:qFormat/>
    <w:rsid w:val="00F8018B"/>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F8018B"/>
    <w:pPr>
      <w:ind w:firstLineChars="200" w:firstLine="420"/>
    </w:pPr>
  </w:style>
  <w:style w:type="character" w:customStyle="1" w:styleId="1Char">
    <w:name w:val="标题 1 Char"/>
    <w:basedOn w:val="a1"/>
    <w:link w:val="1"/>
    <w:uiPriority w:val="9"/>
    <w:qFormat/>
    <w:rsid w:val="00F8018B"/>
    <w:rPr>
      <w:rFonts w:ascii="Times New Roman" w:hAnsi="Times New Roman"/>
      <w:b/>
      <w:bCs/>
      <w:kern w:val="44"/>
      <w:sz w:val="44"/>
      <w:szCs w:val="44"/>
    </w:rPr>
  </w:style>
  <w:style w:type="character" w:customStyle="1" w:styleId="2Char">
    <w:name w:val="标题 2 Char"/>
    <w:basedOn w:val="a1"/>
    <w:link w:val="2"/>
    <w:uiPriority w:val="9"/>
    <w:qFormat/>
    <w:rsid w:val="00F8018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801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F8018B"/>
    <w:rPr>
      <w:rFonts w:ascii="Times New Roman" w:hAnsi="Times New Roman"/>
      <w:kern w:val="2"/>
      <w:sz w:val="18"/>
      <w:szCs w:val="18"/>
    </w:rPr>
  </w:style>
  <w:style w:type="character" w:customStyle="1" w:styleId="3Char">
    <w:name w:val="标题 3 Char"/>
    <w:basedOn w:val="a1"/>
    <w:link w:val="3"/>
    <w:uiPriority w:val="9"/>
    <w:qFormat/>
    <w:rsid w:val="00F8018B"/>
    <w:rPr>
      <w:rFonts w:ascii="Times New Roman" w:hAnsi="Times New Roman"/>
      <w:b/>
      <w:bCs/>
      <w:kern w:val="2"/>
      <w:sz w:val="32"/>
      <w:szCs w:val="32"/>
    </w:rPr>
  </w:style>
  <w:style w:type="paragraph" w:customStyle="1" w:styleId="TOC2">
    <w:name w:val="TOC 标题2"/>
    <w:basedOn w:val="1"/>
    <w:next w:val="a"/>
    <w:uiPriority w:val="39"/>
    <w:unhideWhenUsed/>
    <w:qFormat/>
    <w:rsid w:val="00F801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6774193548387746E-2"/>
          <c:y val="3.4749034749034804E-2"/>
          <c:w val="0.71612903225808866"/>
          <c:h val="0.82625482625483804"/>
        </c:manualLayout>
      </c:layout>
      <c:barChart>
        <c:barDir val="col"/>
        <c:grouping val="clustered"/>
        <c:ser>
          <c:idx val="1"/>
          <c:order val="0"/>
          <c:tx>
            <c:strRef>
              <c:f>Sheet1!$A$2</c:f>
              <c:strCache>
                <c:ptCount val="1"/>
                <c:pt idx="0">
                  <c:v>2022年</c:v>
                </c:pt>
              </c:strCache>
            </c:strRef>
          </c:tx>
          <c:spPr>
            <a:solidFill>
              <a:srgbClr val="993366"/>
            </a:solidFill>
            <a:ln w="12611">
              <a:solidFill>
                <a:srgbClr val="000000"/>
              </a:solidFill>
              <a:prstDash val="solid"/>
            </a:ln>
          </c:spPr>
          <c:dLbls>
            <c:dLbl>
              <c:idx val="0"/>
              <c:layout>
                <c:manualLayout>
                  <c:x val="-3.6533241576955866E-2"/>
                  <c:y val="-4.8251908838795224E-2"/>
                </c:manualLayout>
              </c:layout>
              <c:dLblPos val="outEnd"/>
              <c:showVal val="1"/>
              <c:extLst>
                <c:ext xmlns:c15="http://schemas.microsoft.com/office/drawing/2012/chart" uri="{CE6537A1-D6FC-4f65-9D91-7224C49458BB}">
                  <c15:layout/>
                </c:ext>
              </c:extLst>
            </c:dLbl>
            <c:dLbl>
              <c:idx val="1"/>
              <c:layout>
                <c:manualLayout>
                  <c:x val="2.0721286868293116E-2"/>
                  <c:y val="-4.8251908838795224E-2"/>
                </c:manualLayout>
              </c:layout>
              <c:dLblPos val="outEnd"/>
              <c:showVal val="1"/>
              <c:extLst>
                <c:ext xmlns:c15="http://schemas.microsoft.com/office/drawing/2012/chart" uri="{CE6537A1-D6FC-4f65-9D91-7224C49458BB}">
                  <c15:layout/>
                </c:ext>
              </c:extLst>
            </c:dLbl>
            <c:spPr>
              <a:noFill/>
              <a:ln w="2522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177.59</c:v>
                </c:pt>
                <c:pt idx="1">
                  <c:v>177.59</c:v>
                </c:pt>
              </c:numCache>
            </c:numRef>
          </c:val>
        </c:ser>
        <c:ser>
          <c:idx val="2"/>
          <c:order val="1"/>
          <c:tx>
            <c:strRef>
              <c:f>Sheet1!$A$3</c:f>
              <c:strCache>
                <c:ptCount val="1"/>
                <c:pt idx="0">
                  <c:v>2021年</c:v>
                </c:pt>
              </c:strCache>
            </c:strRef>
          </c:tx>
          <c:spPr>
            <a:solidFill>
              <a:srgbClr val="FFFFCC"/>
            </a:solidFill>
            <a:ln w="12611">
              <a:solidFill>
                <a:srgbClr val="000000"/>
              </a:solidFill>
              <a:prstDash val="solid"/>
            </a:ln>
          </c:spPr>
          <c:dLbls>
            <c:dLbl>
              <c:idx val="0"/>
              <c:layout>
                <c:manualLayout>
                  <c:x val="2.8673174230278941E-2"/>
                  <c:y val="-3.2466155680452032E-2"/>
                </c:manualLayout>
              </c:layout>
              <c:dLblPos val="outEnd"/>
              <c:showVal val="1"/>
              <c:extLst>
                <c:ext xmlns:c15="http://schemas.microsoft.com/office/drawing/2012/chart" uri="{CE6537A1-D6FC-4f65-9D91-7224C49458BB}">
                  <c15:layout/>
                </c:ext>
              </c:extLst>
            </c:dLbl>
            <c:dLbl>
              <c:idx val="1"/>
              <c:layout>
                <c:manualLayout>
                  <c:x val="9.2379130634166459E-2"/>
                  <c:y val="-3.2466155680452032E-2"/>
                </c:manualLayout>
              </c:layout>
              <c:dLblPos val="outEnd"/>
              <c:showVal val="1"/>
              <c:extLst>
                <c:ext xmlns:c15="http://schemas.microsoft.com/office/drawing/2012/chart" uri="{CE6537A1-D6FC-4f65-9D91-7224C49458BB}">
                  <c15:layout/>
                </c:ext>
              </c:extLst>
            </c:dLbl>
            <c:spPr>
              <a:noFill/>
              <a:ln w="2522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208.39000000000001</c:v>
                </c:pt>
                <c:pt idx="1">
                  <c:v>208.39000000000001</c:v>
                </c:pt>
              </c:numCache>
            </c:numRef>
          </c:val>
        </c:ser>
        <c:dLbls>
          <c:showVal val="1"/>
        </c:dLbls>
        <c:axId val="105279488"/>
        <c:axId val="105281408"/>
      </c:barChart>
      <c:catAx>
        <c:axId val="105279488"/>
        <c:scaling>
          <c:orientation val="minMax"/>
        </c:scaling>
        <c:axPos val="b"/>
        <c:numFmt formatCode="General" sourceLinked="1"/>
        <c:majorTickMark val="in"/>
        <c:tickLblPos val="low"/>
        <c:spPr>
          <a:ln w="3153"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281408"/>
        <c:crosses val="autoZero"/>
        <c:auto val="1"/>
        <c:lblAlgn val="ctr"/>
        <c:lblOffset val="100"/>
        <c:tickLblSkip val="1"/>
      </c:catAx>
      <c:valAx>
        <c:axId val="105281408"/>
        <c:scaling>
          <c:orientation val="minMax"/>
        </c:scaling>
        <c:axPos val="l"/>
        <c:majorGridlines>
          <c:spPr>
            <a:ln w="3153" cap="flat" cmpd="sng" algn="ctr">
              <a:solidFill>
                <a:srgbClr val="000000"/>
              </a:solidFill>
              <a:prstDash val="solid"/>
              <a:round/>
            </a:ln>
          </c:spPr>
        </c:majorGridlines>
        <c:numFmt formatCode="General" sourceLinked="1"/>
        <c:majorTickMark val="in"/>
        <c:tickLblPos val="nextTo"/>
        <c:spPr>
          <a:ln w="3153"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27948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3655913978494556"/>
          <c:y val="0.41698841698842437"/>
          <c:w val="0.15483870967741942"/>
          <c:h val="0.16602316602316602"/>
        </c:manualLayout>
      </c:layout>
      <c:spPr>
        <a:noFill/>
        <a:ln w="3153">
          <a:solidFill>
            <a:srgbClr val="000000"/>
          </a:solidFill>
          <a:prstDash val="solid"/>
        </a:ln>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119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975"/>
          <c:y val="0.19708029197080301"/>
          <c:w val="0.35443037974683977"/>
          <c:h val="0.61313868613139555"/>
        </c:manualLayout>
      </c:layout>
      <c:pieChart>
        <c:varyColors val="1"/>
        <c:ser>
          <c:idx val="0"/>
          <c:order val="0"/>
          <c:tx>
            <c:strRef>
              <c:f>Sheet1!$A$2</c:f>
              <c:strCache>
                <c:ptCount val="1"/>
                <c:pt idx="0">
                  <c:v>2022年</c:v>
                </c:pt>
              </c:strCache>
            </c:strRef>
          </c:tx>
          <c:spPr>
            <a:solidFill>
              <a:srgbClr val="9999FF"/>
            </a:solidFill>
            <a:ln w="12631">
              <a:solidFill>
                <a:srgbClr val="000000"/>
              </a:solidFill>
              <a:prstDash val="solid"/>
            </a:ln>
          </c:spPr>
          <c:dLbls>
            <c:numFmt formatCode="0%" sourceLinked="0"/>
            <c:spPr>
              <a:noFill/>
              <a:ln w="25262">
                <a:noFill/>
              </a:ln>
              <a:effectLst/>
            </c:spPr>
            <c:txPr>
              <a:bodyPr rot="0" spcFirstLastPara="0" vertOverflow="ellipsis" vert="horz" wrap="square" lIns="38100" tIns="19050" rIns="38100" bIns="19050" anchor="ctr" anchorCtr="1"/>
              <a:lstStyle/>
              <a:p>
                <a:pPr>
                  <a:defRPr lang="zh-CN" sz="119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Sheet1!$B$1:$B$1</c:f>
              <c:strCache>
                <c:ptCount val="1"/>
                <c:pt idx="0">
                  <c:v>一般公共预算财政拨款收入</c:v>
                </c:pt>
              </c:strCache>
            </c:strRef>
          </c:cat>
          <c:val>
            <c:numRef>
              <c:f>Sheet1!$B$2:$B$2</c:f>
              <c:numCache>
                <c:formatCode>General</c:formatCode>
                <c:ptCount val="1"/>
                <c:pt idx="0">
                  <c:v>208.39000000000001</c:v>
                </c:pt>
              </c:numCache>
            </c:numRef>
          </c:val>
        </c:ser>
        <c:dLbls>
          <c:showPercent val="1"/>
        </c:dLbls>
        <c:firstSliceAng val="0"/>
      </c:pieChart>
      <c:spPr>
        <a:solidFill>
          <a:srgbClr val="C0C0C0"/>
        </a:solidFill>
        <a:ln w="12631">
          <a:solidFill>
            <a:srgbClr val="808080"/>
          </a:solidFill>
          <a:prstDash val="solid"/>
        </a:ln>
      </c:spPr>
    </c:plotArea>
    <c:legend>
      <c:legendPos val="r"/>
      <c:layout>
        <c:manualLayout>
          <c:xMode val="edge"/>
          <c:yMode val="edge"/>
          <c:x val="0.670886075949367"/>
          <c:y val="0.42700729927007902"/>
          <c:w val="0.32067510548523231"/>
          <c:h val="0.14598540145985642"/>
        </c:manualLayout>
      </c:layout>
      <c:spPr>
        <a:noFill/>
        <a:ln w="3158">
          <a:solidFill>
            <a:srgbClr val="000000"/>
          </a:solidFill>
          <a:prstDash val="solid"/>
        </a:ln>
      </c:spPr>
      <c:txPr>
        <a:bodyPr rot="0" spcFirstLastPara="0" vertOverflow="ellipsis" vert="horz" wrap="square" anchor="ctr" anchorCtr="1"/>
        <a:lstStyle/>
        <a:p>
          <a:pPr>
            <a:defRPr lang="zh-CN" sz="109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19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036529680365301"/>
          <c:y val="0.221854304635762"/>
          <c:w val="0.3881278538812839"/>
          <c:h val="0.56291390728476798"/>
        </c:manualLayout>
      </c:layout>
      <c:pieChart>
        <c:varyColors val="1"/>
        <c:ser>
          <c:idx val="0"/>
          <c:order val="0"/>
          <c:tx>
            <c:strRef>
              <c:f>Sheet1!$A$2</c:f>
              <c:strCache>
                <c:ptCount val="1"/>
                <c:pt idx="0">
                  <c:v>2022年支出合计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a:effectLst/>
            </c:spPr>
            <c:txPr>
              <a:bodyPr rot="0" spcFirstLastPara="0" vertOverflow="ellipsis" vert="horz" wrap="square" lIns="38100" tIns="19050" rIns="38100" bIns="19050" anchor="ctr" anchorCtr="1"/>
              <a:lstStyle/>
              <a:p>
                <a:pPr>
                  <a:defRPr lang="zh-CN" sz="141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Sheet1!$B$1:$C$1</c:f>
              <c:strCache>
                <c:ptCount val="2"/>
                <c:pt idx="0">
                  <c:v>基本支出</c:v>
                </c:pt>
                <c:pt idx="1">
                  <c:v>项目支出</c:v>
                </c:pt>
              </c:strCache>
            </c:strRef>
          </c:cat>
          <c:val>
            <c:numRef>
              <c:f>Sheet1!$B$2:$C$2</c:f>
              <c:numCache>
                <c:formatCode>General</c:formatCode>
                <c:ptCount val="2"/>
                <c:pt idx="0">
                  <c:v>165.59</c:v>
                </c:pt>
                <c:pt idx="1">
                  <c:v>12</c:v>
                </c:pt>
              </c:numCache>
            </c:numRef>
          </c:val>
        </c:ser>
        <c:dLbls>
          <c:showPercent val="1"/>
        </c:dLbls>
        <c:firstSliceAng val="15"/>
      </c:pieChart>
      <c:spPr>
        <a:solidFill>
          <a:srgbClr val="C0C0C0"/>
        </a:solidFill>
        <a:ln w="12609">
          <a:solidFill>
            <a:srgbClr val="808080"/>
          </a:solidFill>
          <a:prstDash val="solid"/>
        </a:ln>
        <a:effectLst/>
      </c:spPr>
    </c:plotArea>
    <c:legend>
      <c:legendPos val="r"/>
      <c:layout>
        <c:manualLayout>
          <c:xMode val="edge"/>
          <c:yMode val="edge"/>
          <c:x val="0.74657534246575463"/>
          <c:y val="0.40728476821192477"/>
          <c:w val="0.20706242059656754"/>
          <c:h val="0.16126280179103342"/>
        </c:manualLayout>
      </c:layout>
      <c:spPr>
        <a:noFill/>
        <a:ln w="3152">
          <a:solidFill>
            <a:srgbClr val="000000"/>
          </a:solidFill>
          <a:prstDash val="solid"/>
        </a:ln>
      </c:spPr>
      <c:txPr>
        <a:bodyPr rot="0" spcFirstLastPara="0" vertOverflow="ellipsis" vert="horz" wrap="square" anchor="ctr" anchorCtr="1"/>
        <a:lstStyle/>
        <a:p>
          <a:pPr>
            <a:defRPr lang="zh-CN" sz="13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41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250569476082012"/>
          <c:y val="5.3003533568904602E-2"/>
          <c:w val="0.6993166287015945"/>
          <c:h val="0.81978798586571544"/>
        </c:manualLayout>
      </c:layout>
      <c:barChart>
        <c:barDir val="col"/>
        <c:grouping val="clustered"/>
        <c:ser>
          <c:idx val="1"/>
          <c:order val="0"/>
          <c:tx>
            <c:strRef>
              <c:f>Sheet1!$A$2</c:f>
              <c:strCache>
                <c:ptCount val="1"/>
                <c:pt idx="0">
                  <c:v>2022年</c:v>
                </c:pt>
              </c:strCache>
            </c:strRef>
          </c:tx>
          <c:spPr>
            <a:solidFill>
              <a:srgbClr val="993366"/>
            </a:solidFill>
            <a:ln w="12601">
              <a:solidFill>
                <a:srgbClr val="000000"/>
              </a:solidFill>
              <a:prstDash val="solid"/>
            </a:ln>
          </c:spPr>
          <c:dLbls>
            <c:spPr>
              <a:noFill/>
              <a:ln w="2520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Sheet1!$B$1:$E$1</c:f>
              <c:strCache>
                <c:ptCount val="2"/>
                <c:pt idx="0">
                  <c:v>收入</c:v>
                </c:pt>
                <c:pt idx="1">
                  <c:v>支出</c:v>
                </c:pt>
              </c:strCache>
            </c:strRef>
          </c:cat>
          <c:val>
            <c:numRef>
              <c:f>Sheet1!$B$2:$E$2</c:f>
              <c:numCache>
                <c:formatCode>General</c:formatCode>
                <c:ptCount val="4"/>
                <c:pt idx="0">
                  <c:v>177.59</c:v>
                </c:pt>
                <c:pt idx="1">
                  <c:v>177.59</c:v>
                </c:pt>
              </c:numCache>
            </c:numRef>
          </c:val>
        </c:ser>
        <c:ser>
          <c:idx val="2"/>
          <c:order val="1"/>
          <c:tx>
            <c:strRef>
              <c:f>Sheet1!$A$3</c:f>
              <c:strCache>
                <c:ptCount val="1"/>
                <c:pt idx="0">
                  <c:v>2021年</c:v>
                </c:pt>
              </c:strCache>
            </c:strRef>
          </c:tx>
          <c:spPr>
            <a:solidFill>
              <a:srgbClr val="FFFFCC"/>
            </a:solidFill>
            <a:ln w="12601">
              <a:solidFill>
                <a:srgbClr val="000000"/>
              </a:solidFill>
              <a:prstDash val="solid"/>
            </a:ln>
          </c:spPr>
          <c:dLbls>
            <c:spPr>
              <a:noFill/>
              <a:ln w="2520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Sheet1!$B$1:$E$1</c:f>
              <c:strCache>
                <c:ptCount val="2"/>
                <c:pt idx="0">
                  <c:v>收入</c:v>
                </c:pt>
                <c:pt idx="1">
                  <c:v>支出</c:v>
                </c:pt>
              </c:strCache>
            </c:strRef>
          </c:cat>
          <c:val>
            <c:numRef>
              <c:f>Sheet1!$B$3:$E$3</c:f>
              <c:numCache>
                <c:formatCode>General</c:formatCode>
                <c:ptCount val="4"/>
                <c:pt idx="0">
                  <c:v>208.39000000000001</c:v>
                </c:pt>
                <c:pt idx="1">
                  <c:v>208.39000000000001</c:v>
                </c:pt>
              </c:numCache>
            </c:numRef>
          </c:val>
        </c:ser>
        <c:dLbls>
          <c:showVal val="1"/>
        </c:dLbls>
        <c:axId val="103531264"/>
        <c:axId val="103532800"/>
      </c:barChart>
      <c:catAx>
        <c:axId val="103531264"/>
        <c:scaling>
          <c:orientation val="minMax"/>
        </c:scaling>
        <c:axPos val="b"/>
        <c:numFmt formatCode="General" sourceLinked="1"/>
        <c:majorTickMark val="in"/>
        <c:tickLblPos val="low"/>
        <c:spPr>
          <a:ln w="3150"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3532800"/>
        <c:crosses val="autoZero"/>
        <c:auto val="1"/>
        <c:lblAlgn val="ctr"/>
        <c:lblOffset val="100"/>
        <c:tickLblSkip val="1"/>
      </c:catAx>
      <c:valAx>
        <c:axId val="103532800"/>
        <c:scaling>
          <c:orientation val="minMax"/>
        </c:scaling>
        <c:axPos val="l"/>
        <c:majorGridlines>
          <c:spPr>
            <a:ln w="3150" cap="flat" cmpd="sng" algn="ctr">
              <a:solidFill>
                <a:srgbClr val="000000"/>
              </a:solidFill>
              <a:prstDash val="solid"/>
              <a:round/>
            </a:ln>
          </c:spPr>
        </c:majorGridlines>
        <c:numFmt formatCode="General" sourceLinked="1"/>
        <c:majorTickMark val="in"/>
        <c:tickLblPos val="nextTo"/>
        <c:spPr>
          <a:ln w="3150"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353126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2687927107061665"/>
          <c:y val="0.42402826855123732"/>
          <c:w val="0.16400911161731221"/>
          <c:h val="0.15194346289753313"/>
        </c:manualLayout>
      </c:layout>
      <c:spPr>
        <a:noFill/>
        <a:ln w="3150">
          <a:solidFill>
            <a:srgbClr val="000000"/>
          </a:solidFill>
          <a:prstDash val="solid"/>
        </a:ln>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119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465373961218802"/>
          <c:y val="4.7619047619047623E-2"/>
          <c:w val="0.68144044321330455"/>
          <c:h val="0.80086580086580161"/>
        </c:manualLayout>
      </c:layout>
      <c:barChart>
        <c:barDir val="col"/>
        <c:grouping val="clustered"/>
        <c:ser>
          <c:idx val="0"/>
          <c:order val="0"/>
          <c:tx>
            <c:strRef>
              <c:f>Sheet1!$A$2</c:f>
              <c:strCache>
                <c:ptCount val="1"/>
                <c:pt idx="0">
                  <c:v>2022</c:v>
                </c:pt>
              </c:strCache>
            </c:strRef>
          </c:tx>
          <c:spPr>
            <a:solidFill>
              <a:srgbClr val="9999FF"/>
            </a:solidFill>
            <a:ln w="12614">
              <a:solidFill>
                <a:srgbClr val="000000"/>
              </a:solidFill>
              <a:prstDash val="solid"/>
            </a:ln>
          </c:spPr>
          <c:dLbls>
            <c:spPr>
              <a:noFill/>
              <a:ln w="25228">
                <a:noFill/>
              </a:ln>
              <a:effectLst/>
            </c:spPr>
            <c:txPr>
              <a:bodyPr rot="0" spcFirstLastPara="0" vertOverflow="ellipsis" vert="horz" wrap="square" lIns="38100" tIns="19050" rIns="38100" bIns="19050"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Sheet1!$B$1:$D$1</c:f>
              <c:strCache>
                <c:ptCount val="1"/>
                <c:pt idx="0">
                  <c:v>支出</c:v>
                </c:pt>
              </c:strCache>
            </c:strRef>
          </c:cat>
          <c:val>
            <c:numRef>
              <c:f>Sheet1!$B$2:$D$2</c:f>
              <c:numCache>
                <c:formatCode>General</c:formatCode>
                <c:ptCount val="2"/>
                <c:pt idx="0">
                  <c:v>177.59</c:v>
                </c:pt>
              </c:numCache>
            </c:numRef>
          </c:val>
        </c:ser>
        <c:ser>
          <c:idx val="1"/>
          <c:order val="1"/>
          <c:tx>
            <c:strRef>
              <c:f>Sheet1!$A$3</c:f>
              <c:strCache>
                <c:ptCount val="1"/>
                <c:pt idx="0">
                  <c:v>2021</c:v>
                </c:pt>
              </c:strCache>
            </c:strRef>
          </c:tx>
          <c:spPr>
            <a:solidFill>
              <a:srgbClr val="993366"/>
            </a:solidFill>
            <a:ln w="12614">
              <a:solidFill>
                <a:srgbClr val="000000"/>
              </a:solidFill>
              <a:prstDash val="solid"/>
            </a:ln>
          </c:spPr>
          <c:dLbls>
            <c:spPr>
              <a:noFill/>
              <a:ln w="25228">
                <a:noFill/>
              </a:ln>
              <a:effectLst/>
            </c:spPr>
            <c:txPr>
              <a:bodyPr rot="0" spcFirstLastPara="0" vertOverflow="ellipsis" vert="horz" wrap="square" lIns="38100" tIns="19050" rIns="38100" bIns="19050"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Sheet1!$B$1:$D$1</c:f>
              <c:strCache>
                <c:ptCount val="1"/>
                <c:pt idx="0">
                  <c:v>支出</c:v>
                </c:pt>
              </c:strCache>
            </c:strRef>
          </c:cat>
          <c:val>
            <c:numRef>
              <c:f>Sheet1!$B$3:$D$3</c:f>
              <c:numCache>
                <c:formatCode>General</c:formatCode>
                <c:ptCount val="2"/>
                <c:pt idx="0">
                  <c:v>208.39000000000001</c:v>
                </c:pt>
              </c:numCache>
            </c:numRef>
          </c:val>
        </c:ser>
        <c:dLbls>
          <c:showVal val="1"/>
        </c:dLbls>
        <c:axId val="107416576"/>
        <c:axId val="107418368"/>
      </c:barChart>
      <c:catAx>
        <c:axId val="107416576"/>
        <c:scaling>
          <c:orientation val="minMax"/>
        </c:scaling>
        <c:axPos val="b"/>
        <c:numFmt formatCode="General" sourceLinked="1"/>
        <c:majorTickMark val="in"/>
        <c:tickLblPos val="low"/>
        <c:spPr>
          <a:ln w="3154" cap="flat" cmpd="sng" algn="ctr">
            <a:solidFill>
              <a:srgbClr val="000000"/>
            </a:solidFill>
            <a:prstDash val="solid"/>
            <a:round/>
          </a:ln>
        </c:spPr>
        <c:txPr>
          <a:bodyPr rot="0" spcFirstLastPara="0" vertOverflow="ellipsis" vert="horz" wrap="square"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7418368"/>
        <c:crosses val="autoZero"/>
        <c:auto val="1"/>
        <c:lblAlgn val="ctr"/>
        <c:lblOffset val="100"/>
        <c:tickLblSkip val="1"/>
      </c:catAx>
      <c:valAx>
        <c:axId val="107418368"/>
        <c:scaling>
          <c:orientation val="minMax"/>
        </c:scaling>
        <c:axPos val="l"/>
        <c:majorGridlines>
          <c:spPr>
            <a:ln w="3154" cap="flat" cmpd="sng" algn="ctr">
              <a:solidFill>
                <a:srgbClr val="000000"/>
              </a:solidFill>
              <a:prstDash val="solid"/>
              <a:round/>
            </a:ln>
          </c:spPr>
        </c:majorGridlines>
        <c:numFmt formatCode="General" sourceLinked="1"/>
        <c:majorTickMark val="in"/>
        <c:tickLblPos val="nextTo"/>
        <c:spPr>
          <a:ln w="3154" cap="flat" cmpd="sng" algn="ctr">
            <a:solidFill>
              <a:srgbClr val="000000"/>
            </a:solidFill>
            <a:prstDash val="solid"/>
            <a:round/>
          </a:ln>
        </c:spPr>
        <c:txPr>
          <a:bodyPr rot="0" spcFirstLastPara="0" vertOverflow="ellipsis" vert="horz" wrap="square"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741657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3656509695290859"/>
          <c:y val="0.41125541125541132"/>
          <c:w val="0.15235457063711888"/>
          <c:h val="0.17748917748917942"/>
        </c:manualLayout>
      </c:layout>
      <c:spPr>
        <a:noFill/>
        <a:ln w="3154">
          <a:solidFill>
            <a:srgbClr val="000000"/>
          </a:solidFill>
          <a:prstDash val="solid"/>
        </a:ln>
      </c:spPr>
      <c:txPr>
        <a:bodyPr rot="0" spcFirstLastPara="0" vertOverflow="ellipsis" vert="horz" wrap="square"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114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07982261640797"/>
          <c:y val="0.2088353413654658"/>
          <c:w val="0.32594235033259877"/>
          <c:h val="0.59036144578312444"/>
        </c:manualLayout>
      </c:layout>
      <c:pieChart>
        <c:varyColors val="1"/>
        <c:ser>
          <c:idx val="0"/>
          <c:order val="0"/>
          <c:tx>
            <c:strRef>
              <c:f>Sheet1!$A$2</c:f>
              <c:strCache>
                <c:ptCount val="1"/>
                <c:pt idx="0">
                  <c:v>2022年一般公共预算财政拨款支出决算</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Lbls>
            <c:numFmt formatCode="0.00%" sourceLinked="0"/>
            <c:spPr>
              <a:noFill/>
              <a:ln w="25181">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Sheet1!$B$1:$E$1</c:f>
              <c:strCache>
                <c:ptCount val="4"/>
                <c:pt idx="0">
                  <c:v>公共安全支出(类）</c:v>
                </c:pt>
                <c:pt idx="1">
                  <c:v>社会保障和就业支出(类）</c:v>
                </c:pt>
                <c:pt idx="2">
                  <c:v>卫生健康支出(类）</c:v>
                </c:pt>
                <c:pt idx="3">
                  <c:v>住房保障支出(类）</c:v>
                </c:pt>
              </c:strCache>
            </c:strRef>
          </c:cat>
          <c:val>
            <c:numRef>
              <c:f>Sheet1!$B$2:$E$2</c:f>
              <c:numCache>
                <c:formatCode>General</c:formatCode>
                <c:ptCount val="4"/>
                <c:pt idx="0">
                  <c:v>134.6</c:v>
                </c:pt>
                <c:pt idx="1">
                  <c:v>10.77</c:v>
                </c:pt>
                <c:pt idx="2">
                  <c:v>10.050000000000002</c:v>
                </c:pt>
                <c:pt idx="3">
                  <c:v>22.17</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2103"/>
          <c:y val="4.2593922282125933E-2"/>
          <c:w val="0.33702882483371144"/>
          <c:h val="0.93140397635766858"/>
        </c:manualLayout>
      </c:layout>
      <c:spPr>
        <a:noFill/>
        <a:ln w="3148">
          <a:solidFill>
            <a:srgbClr val="000000"/>
          </a:solidFill>
          <a:prstDash val="solid"/>
        </a:ln>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19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
          <c:y val="0.22831050228310487"/>
          <c:w val="0.31496062992126855"/>
          <c:h val="0.54794520547946179"/>
        </c:manualLayout>
      </c:layout>
      <c:pieChart>
        <c:varyColors val="1"/>
        <c:ser>
          <c:idx val="0"/>
          <c:order val="0"/>
          <c:tx>
            <c:strRef>
              <c:f>Sheet1!$A$2</c:f>
              <c:strCache>
                <c:ptCount val="1"/>
                <c:pt idx="0">
                  <c:v>2021年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0.12488255875407249"/>
                  <c:y val="-0.12126578862510053"/>
                </c:manualLayout>
              </c:layout>
              <c:dLblPos val="bestFit"/>
              <c:showVal val="1"/>
              <c:showPercent val="1"/>
              <c:extLst>
                <c:ext xmlns:c15="http://schemas.microsoft.com/office/drawing/2012/chart" uri="{CE6537A1-D6FC-4f65-9D91-7224C49458BB}">
                  <c15:layout/>
                </c:ext>
              </c:extLst>
            </c:dLbl>
            <c:dLbl>
              <c:idx val="1"/>
              <c:layout>
                <c:manualLayout>
                  <c:x val="0.14697248442925118"/>
                  <c:y val="1.9658739288434167E-2"/>
                </c:manualLayout>
              </c:layout>
              <c:dLblPos val="bestFit"/>
              <c:showVal val="1"/>
              <c:showPercent val="1"/>
            </c:dLbl>
            <c:dLbl>
              <c:idx val="2"/>
              <c:layout>
                <c:manualLayout>
                  <c:x val="-0.14985676917827923"/>
                  <c:y val="-7.1346404092750101E-2"/>
                </c:manualLayout>
              </c:layout>
              <c:dLblPos val="bestFit"/>
              <c:showVal val="1"/>
              <c:showPercent val="1"/>
              <c:extLst>
                <c:ext xmlns:c15="http://schemas.microsoft.com/office/drawing/2012/chart" uri="{CE6537A1-D6FC-4f65-9D91-7224C49458BB}">
                  <c15:layout/>
                </c:ext>
              </c:extLst>
            </c:dLbl>
            <c:numFmt formatCode="0.00%" sourceLinked="0"/>
            <c:spPr>
              <a:noFill/>
              <a:ln w="25259">
                <a:noFill/>
              </a:ln>
              <a:effectLst/>
            </c:spPr>
            <c:txPr>
              <a:bodyPr rot="0" spcFirstLastPara="0" vertOverflow="ellipsis" vert="horz" wrap="square" lIns="38100" tIns="19050" rIns="38100" bIns="19050" anchor="ctr" anchorCtr="1"/>
              <a:lstStyle/>
              <a:p>
                <a:pPr>
                  <a:defRPr lang="zh-CN" sz="10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0</c:v>
                </c:pt>
                <c:pt idx="2">
                  <c:v>0</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1499"/>
          <c:y val="0.255707762557078"/>
          <c:w val="0.31680543755310131"/>
          <c:h val="0.44270584387814144"/>
        </c:manualLayout>
      </c:layout>
      <c:spPr>
        <a:noFill/>
        <a:ln w="3157">
          <a:solidFill>
            <a:srgbClr val="000000"/>
          </a:solidFill>
          <a:prstDash val="solid"/>
        </a:ln>
      </c:spPr>
      <c:txPr>
        <a:bodyPr rot="0" spcFirstLastPara="0" vertOverflow="ellipsis" vert="horz" wrap="square" anchor="ctr" anchorCtr="1"/>
        <a:lstStyle/>
        <a:p>
          <a:pPr>
            <a:defRPr lang="zh-CN" sz="9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07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AF989-0223-4359-81E9-25859FC2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673</Words>
  <Characters>3842</Characters>
  <Application>Microsoft Office Word</Application>
  <DocSecurity>0</DocSecurity>
  <Lines>32</Lines>
  <Paragraphs>9</Paragraphs>
  <ScaleCrop>false</ScaleCrop>
  <Company>四川省财政厅</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17</cp:revision>
  <cp:lastPrinted>2020-01-01T12:14:00Z</cp:lastPrinted>
  <dcterms:created xsi:type="dcterms:W3CDTF">2022-09-07T01:12:00Z</dcterms:created>
  <dcterms:modified xsi:type="dcterms:W3CDTF">2023-09-01T09:12:00Z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