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0A" w:rsidRDefault="00E6420A">
      <w:pPr>
        <w:spacing w:line="600" w:lineRule="exact"/>
        <w:jc w:val="left"/>
        <w:outlineLvl w:val="0"/>
        <w:rPr>
          <w:rFonts w:ascii="方正小标宋简体" w:eastAsia="方正小标宋简体" w:hAnsi="宋体"/>
          <w:color w:val="000000"/>
          <w:sz w:val="30"/>
          <w:szCs w:val="30"/>
        </w:rPr>
      </w:pPr>
      <w:bookmarkStart w:id="0" w:name="_Toc15306267"/>
    </w:p>
    <w:p w:rsidR="00E6420A" w:rsidRDefault="00E6420A">
      <w:pPr>
        <w:spacing w:line="600" w:lineRule="exact"/>
        <w:jc w:val="center"/>
        <w:outlineLvl w:val="0"/>
        <w:rPr>
          <w:rFonts w:ascii="方正小标宋简体" w:eastAsia="方正小标宋简体" w:hAnsi="宋体"/>
          <w:color w:val="000000"/>
          <w:sz w:val="72"/>
          <w:szCs w:val="72"/>
        </w:rPr>
      </w:pPr>
    </w:p>
    <w:p w:rsidR="00E6420A" w:rsidRDefault="00E6420A">
      <w:pPr>
        <w:spacing w:line="600" w:lineRule="exact"/>
        <w:jc w:val="center"/>
        <w:outlineLvl w:val="0"/>
        <w:rPr>
          <w:rFonts w:ascii="方正小标宋简体" w:eastAsia="方正小标宋简体" w:hAnsi="宋体"/>
          <w:color w:val="000000"/>
          <w:sz w:val="72"/>
          <w:szCs w:val="72"/>
        </w:rPr>
      </w:pPr>
    </w:p>
    <w:p w:rsidR="00E6420A" w:rsidRDefault="00E6420A">
      <w:pPr>
        <w:spacing w:line="600" w:lineRule="exact"/>
        <w:jc w:val="center"/>
        <w:outlineLvl w:val="0"/>
        <w:rPr>
          <w:rFonts w:ascii="方正小标宋简体" w:eastAsia="方正小标宋简体" w:hAnsi="宋体"/>
          <w:color w:val="000000"/>
          <w:sz w:val="72"/>
          <w:szCs w:val="72"/>
        </w:rPr>
      </w:pPr>
    </w:p>
    <w:p w:rsidR="00E6420A" w:rsidRDefault="005360AC">
      <w:pPr>
        <w:adjustRightInd w:val="0"/>
        <w:snapToGrid w:val="0"/>
        <w:spacing w:line="360" w:lineRule="auto"/>
        <w:jc w:val="center"/>
        <w:outlineLvl w:val="0"/>
        <w:rPr>
          <w:rFonts w:ascii="方正小标宋简体" w:eastAsia="方正小标宋简体" w:hAnsi="宋体"/>
          <w:sz w:val="72"/>
          <w:szCs w:val="72"/>
        </w:rPr>
      </w:pPr>
      <w:bookmarkStart w:id="1" w:name="_Toc15377193"/>
      <w:bookmarkStart w:id="2" w:name="_Toc15396475"/>
      <w:bookmarkStart w:id="3" w:name="_Toc15378441"/>
      <w:bookmarkStart w:id="4" w:name="_Toc15396597"/>
      <w:bookmarkStart w:id="5" w:name="_Toc15377425"/>
      <w:r>
        <w:rPr>
          <w:rFonts w:ascii="黑体" w:eastAsia="黑体" w:hAnsi="黑体"/>
          <w:sz w:val="72"/>
          <w:szCs w:val="72"/>
        </w:rPr>
        <w:t>20</w:t>
      </w:r>
      <w:r>
        <w:rPr>
          <w:rFonts w:ascii="黑体" w:eastAsia="黑体" w:hAnsi="黑体" w:hint="eastAsia"/>
          <w:sz w:val="72"/>
          <w:szCs w:val="72"/>
        </w:rPr>
        <w:t>2</w:t>
      </w:r>
      <w:r w:rsidR="00AC2550">
        <w:rPr>
          <w:rFonts w:ascii="黑体" w:eastAsia="黑体" w:hAnsi="黑体" w:hint="eastAsia"/>
          <w:sz w:val="72"/>
          <w:szCs w:val="72"/>
        </w:rPr>
        <w:t>1</w:t>
      </w:r>
      <w:r>
        <w:rPr>
          <w:rFonts w:ascii="方正小标宋简体" w:eastAsia="方正小标宋简体" w:hAnsi="宋体" w:hint="eastAsia"/>
          <w:sz w:val="72"/>
          <w:szCs w:val="72"/>
        </w:rPr>
        <w:t>年度</w:t>
      </w:r>
      <w:bookmarkEnd w:id="1"/>
      <w:bookmarkEnd w:id="2"/>
      <w:bookmarkEnd w:id="3"/>
      <w:bookmarkEnd w:id="4"/>
      <w:bookmarkEnd w:id="5"/>
    </w:p>
    <w:p w:rsidR="00716D27" w:rsidRDefault="00BA7EF2">
      <w:pPr>
        <w:adjustRightInd w:val="0"/>
        <w:snapToGrid w:val="0"/>
        <w:spacing w:line="360" w:lineRule="auto"/>
        <w:jc w:val="center"/>
        <w:outlineLvl w:val="0"/>
        <w:rPr>
          <w:rFonts w:ascii="方正小标宋简体" w:eastAsia="方正小标宋简体" w:hAnsi="宋体"/>
          <w:sz w:val="72"/>
          <w:szCs w:val="72"/>
        </w:rPr>
      </w:pPr>
      <w:bookmarkStart w:id="6" w:name="_Toc15378442"/>
      <w:bookmarkStart w:id="7" w:name="_Toc15396598"/>
      <w:bookmarkStart w:id="8" w:name="_Toc15377426"/>
      <w:bookmarkStart w:id="9" w:name="_Toc15396476"/>
      <w:bookmarkStart w:id="10" w:name="_Toc15377194"/>
      <w:bookmarkStart w:id="11" w:name="_Toc15306268"/>
      <w:bookmarkEnd w:id="0"/>
      <w:r>
        <w:rPr>
          <w:rFonts w:ascii="方正小标宋简体" w:eastAsia="方正小标宋简体" w:hAnsi="宋体" w:hint="eastAsia"/>
          <w:sz w:val="72"/>
          <w:szCs w:val="72"/>
        </w:rPr>
        <w:t>中共四川省委政法委员会</w:t>
      </w:r>
    </w:p>
    <w:p w:rsidR="00E6420A" w:rsidRDefault="00501C93">
      <w:pPr>
        <w:adjustRightInd w:val="0"/>
        <w:snapToGrid w:val="0"/>
        <w:spacing w:line="360" w:lineRule="auto"/>
        <w:jc w:val="center"/>
        <w:outlineLvl w:val="0"/>
        <w:rPr>
          <w:rFonts w:ascii="方正小标宋简体" w:eastAsia="方正小标宋简体" w:hAnsi="宋体"/>
          <w:sz w:val="72"/>
          <w:szCs w:val="72"/>
        </w:rPr>
      </w:pPr>
      <w:r>
        <w:rPr>
          <w:rFonts w:ascii="方正小标宋简体" w:eastAsia="方正小标宋简体" w:hAnsi="宋体" w:hint="eastAsia"/>
          <w:sz w:val="72"/>
          <w:szCs w:val="72"/>
        </w:rPr>
        <w:t>单位</w:t>
      </w:r>
      <w:r w:rsidR="005360AC">
        <w:rPr>
          <w:rFonts w:ascii="方正小标宋简体" w:eastAsia="方正小标宋简体" w:hAnsi="宋体" w:hint="eastAsia"/>
          <w:sz w:val="72"/>
          <w:szCs w:val="72"/>
        </w:rPr>
        <w:t>决算</w:t>
      </w:r>
      <w:bookmarkEnd w:id="6"/>
      <w:bookmarkEnd w:id="7"/>
      <w:bookmarkEnd w:id="8"/>
      <w:bookmarkEnd w:id="9"/>
      <w:bookmarkEnd w:id="10"/>
      <w:bookmarkEnd w:id="11"/>
    </w:p>
    <w:p w:rsidR="004248C8" w:rsidRDefault="005360AC" w:rsidP="004248C8">
      <w:pPr>
        <w:widowControl/>
        <w:jc w:val="center"/>
        <w:rPr>
          <w:rFonts w:ascii="黑体" w:eastAsia="黑体" w:hAnsi="黑体"/>
          <w:sz w:val="48"/>
          <w:szCs w:val="48"/>
        </w:rPr>
      </w:pPr>
      <w:r>
        <w:rPr>
          <w:rFonts w:ascii="方正小标宋简体" w:eastAsia="方正小标宋简体" w:hAnsi="宋体"/>
          <w:sz w:val="36"/>
          <w:szCs w:val="36"/>
        </w:rPr>
        <w:br w:type="page"/>
      </w:r>
      <w:bookmarkStart w:id="12" w:name="_Toc15377196"/>
      <w:bookmarkStart w:id="13" w:name="_Toc15396599"/>
      <w:r w:rsidR="004248C8">
        <w:rPr>
          <w:rFonts w:ascii="黑体" w:eastAsia="黑体" w:hAnsi="黑体" w:hint="eastAsia"/>
          <w:sz w:val="48"/>
          <w:szCs w:val="48"/>
        </w:rPr>
        <w:lastRenderedPageBreak/>
        <w:t>目录</w:t>
      </w:r>
    </w:p>
    <w:p w:rsidR="004248C8" w:rsidRDefault="004248C8" w:rsidP="004248C8">
      <w:pPr>
        <w:widowControl/>
        <w:jc w:val="center"/>
        <w:rPr>
          <w:rFonts w:ascii="黑体" w:eastAsia="黑体" w:hAnsi="黑体" w:cstheme="minorBidi"/>
          <w:sz w:val="28"/>
          <w:szCs w:val="28"/>
        </w:rPr>
      </w:pPr>
    </w:p>
    <w:p w:rsidR="004248C8" w:rsidRDefault="004248C8" w:rsidP="004248C8">
      <w:pPr>
        <w:pStyle w:val="10"/>
      </w:pPr>
      <w:r>
        <w:rPr>
          <w:rFonts w:hint="eastAsia"/>
        </w:rPr>
        <w:t>公开时间：</w:t>
      </w:r>
      <w:r w:rsidR="001859AA">
        <w:rPr>
          <w:rFonts w:hint="eastAsia"/>
        </w:rPr>
        <w:t>2022</w:t>
      </w:r>
      <w:r>
        <w:rPr>
          <w:rFonts w:hint="eastAsia"/>
        </w:rPr>
        <w:t>年9月</w:t>
      </w:r>
      <w:r w:rsidR="00471F44">
        <w:rPr>
          <w:rFonts w:hint="eastAsia"/>
        </w:rPr>
        <w:t>9</w:t>
      </w:r>
      <w:r>
        <w:rPr>
          <w:rFonts w:hint="eastAsia"/>
        </w:rPr>
        <w:t>日</w:t>
      </w:r>
    </w:p>
    <w:p w:rsidR="004248C8" w:rsidRDefault="004248C8" w:rsidP="004248C8"/>
    <w:p w:rsidR="004248C8" w:rsidRDefault="004248C8" w:rsidP="004248C8">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sidRPr="00D53022">
        <w:rPr>
          <w:rFonts w:hint="eastAsia"/>
          <w:sz w:val="24"/>
        </w:rPr>
        <w:tab/>
      </w:r>
      <w:r>
        <w:rPr>
          <w:rFonts w:hint="eastAsia"/>
          <w:sz w:val="24"/>
        </w:rPr>
        <w:t>4</w:t>
      </w:r>
    </w:p>
    <w:p w:rsidR="004248C8" w:rsidRDefault="004248C8" w:rsidP="004248C8">
      <w:pPr>
        <w:pStyle w:val="20"/>
        <w:adjustRightInd w:val="0"/>
        <w:snapToGrid w:val="0"/>
        <w:spacing w:line="440" w:lineRule="exact"/>
        <w:jc w:val="left"/>
        <w:rPr>
          <w:sz w:val="24"/>
        </w:rPr>
      </w:pPr>
      <w:r>
        <w:rPr>
          <w:rFonts w:hint="eastAsia"/>
          <w:sz w:val="24"/>
        </w:rPr>
        <w:t>一、职能简介</w:t>
      </w:r>
      <w:r w:rsidRPr="00D53022">
        <w:rPr>
          <w:rFonts w:hint="eastAsia"/>
          <w:sz w:val="24"/>
        </w:rPr>
        <w:tab/>
      </w:r>
      <w:r>
        <w:rPr>
          <w:rFonts w:hint="eastAsia"/>
          <w:sz w:val="24"/>
        </w:rPr>
        <w:t>4</w:t>
      </w:r>
    </w:p>
    <w:p w:rsidR="004248C8" w:rsidRDefault="004248C8" w:rsidP="004248C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二、202</w:t>
      </w:r>
      <w:r w:rsidR="00471F44">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年重点工作完成情况</w:t>
      </w:r>
      <w:r w:rsidRPr="00D53022">
        <w:rPr>
          <w:rFonts w:hint="eastAsia"/>
          <w:sz w:val="24"/>
        </w:rPr>
        <w:tab/>
      </w:r>
      <w:r>
        <w:rPr>
          <w:rFonts w:hint="eastAsia"/>
          <w:sz w:val="24"/>
        </w:rPr>
        <w:t>4</w:t>
      </w:r>
    </w:p>
    <w:p w:rsidR="005B2686" w:rsidRDefault="005B2686" w:rsidP="005B2686">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三、机构设置情况</w:t>
      </w:r>
      <w:r w:rsidRPr="00D53022">
        <w:rPr>
          <w:rFonts w:hint="eastAsia"/>
          <w:sz w:val="24"/>
        </w:rPr>
        <w:tab/>
      </w:r>
      <w:r>
        <w:rPr>
          <w:rFonts w:hint="eastAsia"/>
          <w:sz w:val="24"/>
        </w:rPr>
        <w:t>5</w:t>
      </w:r>
    </w:p>
    <w:p w:rsidR="004248C8" w:rsidRDefault="004248C8" w:rsidP="004248C8">
      <w:pPr>
        <w:pStyle w:val="10"/>
        <w:adjustRightInd w:val="0"/>
        <w:snapToGrid w:val="0"/>
        <w:spacing w:before="0" w:line="440" w:lineRule="exact"/>
        <w:jc w:val="left"/>
        <w:rPr>
          <w:sz w:val="24"/>
          <w:szCs w:val="24"/>
        </w:rPr>
      </w:pPr>
      <w:r>
        <w:rPr>
          <w:rFonts w:hint="eastAsia"/>
          <w:sz w:val="24"/>
        </w:rPr>
        <w:t>第二部分 202</w:t>
      </w:r>
      <w:r w:rsidR="00471F44">
        <w:rPr>
          <w:rFonts w:hint="eastAsia"/>
          <w:sz w:val="24"/>
        </w:rPr>
        <w:t>1</w:t>
      </w:r>
      <w:r>
        <w:rPr>
          <w:rFonts w:hint="eastAsia"/>
          <w:sz w:val="24"/>
        </w:rPr>
        <w:t>年度单位决算情况说明</w:t>
      </w:r>
      <w:r w:rsidRPr="00D53022">
        <w:rPr>
          <w:rFonts w:hint="eastAsia"/>
          <w:sz w:val="24"/>
        </w:rPr>
        <w:tab/>
      </w:r>
      <w:r w:rsidR="00C65926">
        <w:rPr>
          <w:rFonts w:hint="eastAsia"/>
          <w:sz w:val="24"/>
        </w:rPr>
        <w:t>6</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Pr="00D53022">
        <w:rPr>
          <w:rFonts w:hint="eastAsia"/>
          <w:sz w:val="24"/>
        </w:rPr>
        <w:tab/>
      </w:r>
      <w:r w:rsidR="00C65926">
        <w:rPr>
          <w:rFonts w:hint="eastAsia"/>
          <w:sz w:val="24"/>
        </w:rPr>
        <w:t>6</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Pr="00D53022">
        <w:rPr>
          <w:rFonts w:hint="eastAsia"/>
          <w:sz w:val="24"/>
        </w:rPr>
        <w:tab/>
      </w:r>
      <w:r w:rsidR="00C65926">
        <w:rPr>
          <w:rFonts w:hint="eastAsia"/>
          <w:sz w:val="24"/>
        </w:rPr>
        <w:t>6</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Pr="00D53022">
        <w:rPr>
          <w:rFonts w:hint="eastAsia"/>
          <w:sz w:val="24"/>
        </w:rPr>
        <w:tab/>
      </w:r>
      <w:r w:rsidR="00C65926">
        <w:rPr>
          <w:rFonts w:hint="eastAsia"/>
          <w:sz w:val="24"/>
        </w:rPr>
        <w:t>7</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Pr="00D53022">
        <w:rPr>
          <w:rFonts w:hint="eastAsia"/>
          <w:sz w:val="24"/>
        </w:rPr>
        <w:tab/>
      </w:r>
      <w:r w:rsidR="00C65926">
        <w:rPr>
          <w:rFonts w:hint="eastAsia"/>
          <w:sz w:val="24"/>
        </w:rPr>
        <w:t>7</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Pr="00D53022">
        <w:rPr>
          <w:rFonts w:hint="eastAsia"/>
          <w:sz w:val="24"/>
        </w:rPr>
        <w:tab/>
      </w:r>
      <w:r w:rsidR="00C65926">
        <w:rPr>
          <w:rFonts w:hint="eastAsia"/>
          <w:sz w:val="24"/>
        </w:rPr>
        <w:t>8</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Pr="00D53022">
        <w:rPr>
          <w:rFonts w:hint="eastAsia"/>
          <w:sz w:val="24"/>
        </w:rPr>
        <w:tab/>
      </w:r>
      <w:r>
        <w:rPr>
          <w:rFonts w:hint="eastAsia"/>
          <w:sz w:val="24"/>
        </w:rPr>
        <w:t>1</w:t>
      </w:r>
      <w:r w:rsidR="00C65926">
        <w:rPr>
          <w:rFonts w:hint="eastAsia"/>
          <w:sz w:val="24"/>
        </w:rPr>
        <w:t>2</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r w:rsidRPr="00D53022">
        <w:rPr>
          <w:rFonts w:hint="eastAsia"/>
          <w:sz w:val="24"/>
        </w:rPr>
        <w:tab/>
      </w:r>
      <w:r>
        <w:rPr>
          <w:rFonts w:hint="eastAsia"/>
          <w:sz w:val="24"/>
        </w:rPr>
        <w:t>1</w:t>
      </w:r>
      <w:r w:rsidR="00C65926">
        <w:rPr>
          <w:rFonts w:hint="eastAsia"/>
          <w:sz w:val="24"/>
        </w:rPr>
        <w:t>2</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Pr="00D53022">
        <w:rPr>
          <w:rFonts w:hint="eastAsia"/>
          <w:sz w:val="24"/>
        </w:rPr>
        <w:tab/>
      </w:r>
      <w:r>
        <w:rPr>
          <w:rFonts w:hint="eastAsia"/>
          <w:sz w:val="24"/>
        </w:rPr>
        <w:t>1</w:t>
      </w:r>
      <w:r w:rsidR="00C65926">
        <w:rPr>
          <w:rFonts w:hint="eastAsia"/>
          <w:sz w:val="24"/>
        </w:rPr>
        <w:t>4</w:t>
      </w:r>
    </w:p>
    <w:p w:rsidR="004248C8" w:rsidRDefault="004248C8" w:rsidP="004248C8">
      <w:pPr>
        <w:pStyle w:val="20"/>
        <w:adjustRightInd w:val="0"/>
        <w:snapToGrid w:val="0"/>
        <w:spacing w:line="440" w:lineRule="exact"/>
        <w:jc w:val="left"/>
        <w:rPr>
          <w:sz w:val="24"/>
        </w:rPr>
      </w:pPr>
      <w:r>
        <w:rPr>
          <w:rFonts w:hint="eastAsia"/>
          <w:sz w:val="24"/>
        </w:rPr>
        <w:t>九、国有资本经营预算支出决算情况说明</w:t>
      </w:r>
      <w:r w:rsidRPr="00D53022">
        <w:rPr>
          <w:rFonts w:hint="eastAsia"/>
          <w:sz w:val="24"/>
        </w:rPr>
        <w:tab/>
      </w:r>
      <w:r>
        <w:rPr>
          <w:rFonts w:hint="eastAsia"/>
          <w:sz w:val="24"/>
        </w:rPr>
        <w:t>1</w:t>
      </w:r>
      <w:r w:rsidR="00C65926">
        <w:rPr>
          <w:rFonts w:hint="eastAsia"/>
          <w:sz w:val="24"/>
        </w:rPr>
        <w:t>4</w:t>
      </w:r>
    </w:p>
    <w:p w:rsidR="004248C8" w:rsidRDefault="004248C8" w:rsidP="004248C8">
      <w:pPr>
        <w:pStyle w:val="20"/>
        <w:adjustRightInd w:val="0"/>
        <w:snapToGrid w:val="0"/>
        <w:spacing w:line="440" w:lineRule="exact"/>
        <w:jc w:val="left"/>
        <w:rPr>
          <w:sz w:val="24"/>
        </w:rPr>
      </w:pPr>
      <w:r>
        <w:rPr>
          <w:rFonts w:hint="eastAsia"/>
          <w:sz w:val="24"/>
        </w:rPr>
        <w:t>十、其他重要事项的情况说明</w:t>
      </w:r>
      <w:r w:rsidRPr="00D53022">
        <w:rPr>
          <w:rFonts w:hint="eastAsia"/>
          <w:sz w:val="24"/>
        </w:rPr>
        <w:tab/>
      </w:r>
      <w:r>
        <w:rPr>
          <w:rFonts w:hint="eastAsia"/>
          <w:sz w:val="24"/>
        </w:rPr>
        <w:t>1</w:t>
      </w:r>
      <w:r w:rsidR="00C65926">
        <w:rPr>
          <w:rFonts w:hint="eastAsia"/>
          <w:sz w:val="24"/>
        </w:rPr>
        <w:t>4</w:t>
      </w:r>
    </w:p>
    <w:p w:rsidR="004248C8" w:rsidRDefault="004248C8" w:rsidP="004248C8">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Pr="00D53022">
        <w:rPr>
          <w:rFonts w:hint="eastAsia"/>
          <w:sz w:val="24"/>
        </w:rPr>
        <w:tab/>
      </w:r>
      <w:r w:rsidR="00C65926">
        <w:rPr>
          <w:rFonts w:hint="eastAsia"/>
          <w:sz w:val="24"/>
        </w:rPr>
        <w:t>1</w:t>
      </w:r>
      <w:r>
        <w:rPr>
          <w:rFonts w:hint="eastAsia"/>
          <w:sz w:val="24"/>
        </w:rPr>
        <w:t>6</w:t>
      </w:r>
    </w:p>
    <w:p w:rsidR="004248C8" w:rsidRDefault="004248C8" w:rsidP="004248C8">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Pr="00D53022">
        <w:rPr>
          <w:rFonts w:hint="eastAsia"/>
          <w:sz w:val="24"/>
        </w:rPr>
        <w:tab/>
      </w:r>
      <w:r w:rsidR="00C65926">
        <w:rPr>
          <w:rFonts w:hint="eastAsia"/>
          <w:sz w:val="24"/>
        </w:rPr>
        <w:t>1</w:t>
      </w:r>
      <w:r w:rsidR="00020877">
        <w:rPr>
          <w:rFonts w:hint="eastAsia"/>
          <w:sz w:val="24"/>
        </w:rPr>
        <w:t>9</w:t>
      </w:r>
    </w:p>
    <w:p w:rsidR="004248C8" w:rsidRDefault="004248C8" w:rsidP="004248C8">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t>一、收入支出决算总表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t>二、收入决算表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t>三、支出决算表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t>四、财政拨款收入支出决算总表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t>五、财政拨款支出决算明细表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t>六、一般公共预算财政拨款支出决算表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t>七、一般公共预算财政拨款支出决算明细表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t>八、一般公共预算财政拨款基本支出决算表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lastRenderedPageBreak/>
        <w:t>九、一般公共预算财政拨款项目支出决算表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t>十、一般公共预算财政拨款“三公”经费支出决算表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t>十一、政府性基金预算财政拨款收入支出决算表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t>十二、政府性基金预算财政拨款“三公”经费支出决算表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t>十三、国有资本经营预算财政拨款收入支出决算表</w:t>
      </w:r>
      <w:r w:rsidRPr="00D53022">
        <w:rPr>
          <w:rFonts w:hint="eastAsia"/>
          <w:sz w:val="24"/>
        </w:rPr>
        <w:tab/>
      </w:r>
      <w:r w:rsidR="00C65926">
        <w:rPr>
          <w:rFonts w:hint="eastAsia"/>
          <w:sz w:val="24"/>
        </w:rPr>
        <w:t>2</w:t>
      </w:r>
      <w:r>
        <w:rPr>
          <w:rFonts w:hint="eastAsia"/>
          <w:sz w:val="24"/>
        </w:rPr>
        <w:t>9</w:t>
      </w:r>
    </w:p>
    <w:p w:rsidR="004248C8" w:rsidRDefault="004248C8" w:rsidP="004248C8">
      <w:pPr>
        <w:pStyle w:val="20"/>
        <w:adjustRightInd w:val="0"/>
        <w:snapToGrid w:val="0"/>
        <w:spacing w:line="440" w:lineRule="exact"/>
        <w:jc w:val="left"/>
        <w:rPr>
          <w:sz w:val="24"/>
        </w:rPr>
      </w:pPr>
      <w:r>
        <w:rPr>
          <w:rFonts w:hint="eastAsia"/>
          <w:sz w:val="24"/>
        </w:rPr>
        <w:t>十四、国有资本经营预算财政拨款支出决算表</w:t>
      </w:r>
      <w:r w:rsidRPr="00D53022">
        <w:rPr>
          <w:rFonts w:hint="eastAsia"/>
          <w:sz w:val="24"/>
        </w:rPr>
        <w:tab/>
      </w:r>
      <w:r w:rsidR="00C65926">
        <w:rPr>
          <w:rFonts w:hint="eastAsia"/>
          <w:sz w:val="24"/>
        </w:rPr>
        <w:t>2</w:t>
      </w:r>
      <w:r>
        <w:rPr>
          <w:rFonts w:hint="eastAsia"/>
          <w:sz w:val="24"/>
        </w:rPr>
        <w:t>9</w:t>
      </w:r>
    </w:p>
    <w:p w:rsidR="00E37ED8" w:rsidRPr="00E37ED8" w:rsidRDefault="004248C8" w:rsidP="00E37ED8">
      <w:pPr>
        <w:widowControl/>
        <w:spacing w:line="440" w:lineRule="exact"/>
        <w:jc w:val="center"/>
        <w:rPr>
          <w:rFonts w:ascii="黑体" w:eastAsia="黑体" w:hAnsi="黑体"/>
          <w:sz w:val="44"/>
          <w:szCs w:val="44"/>
        </w:rPr>
      </w:pPr>
      <w:r>
        <w:rPr>
          <w:rFonts w:ascii="仿宋" w:eastAsia="仿宋" w:hAnsi="仿宋"/>
          <w:b/>
          <w:sz w:val="24"/>
        </w:rPr>
        <w:br w:type="page"/>
      </w:r>
      <w:r w:rsidR="005360AC" w:rsidRPr="00E37ED8">
        <w:rPr>
          <w:rFonts w:ascii="黑体" w:eastAsia="黑体" w:hAnsi="黑体" w:hint="eastAsia"/>
          <w:sz w:val="44"/>
          <w:szCs w:val="44"/>
        </w:rPr>
        <w:lastRenderedPageBreak/>
        <w:t>第一部分 单位概况</w:t>
      </w:r>
      <w:bookmarkStart w:id="14" w:name="_Toc15377197"/>
      <w:bookmarkStart w:id="15" w:name="_Toc15396600"/>
      <w:bookmarkEnd w:id="12"/>
      <w:bookmarkEnd w:id="13"/>
    </w:p>
    <w:p w:rsidR="00E37ED8" w:rsidRDefault="00E37ED8" w:rsidP="00E37ED8">
      <w:pPr>
        <w:widowControl/>
        <w:spacing w:line="440" w:lineRule="exact"/>
        <w:ind w:firstLineChars="200" w:firstLine="643"/>
        <w:jc w:val="left"/>
        <w:rPr>
          <w:rStyle w:val="2Char"/>
          <w:rFonts w:ascii="黑体" w:eastAsia="黑体" w:hAnsi="黑体"/>
        </w:rPr>
      </w:pPr>
    </w:p>
    <w:p w:rsidR="00E6420A" w:rsidRPr="00900D8B" w:rsidRDefault="00E37ED8" w:rsidP="00900D8B">
      <w:pPr>
        <w:widowControl/>
        <w:spacing w:line="440" w:lineRule="exact"/>
        <w:ind w:firstLineChars="200" w:firstLine="640"/>
        <w:jc w:val="left"/>
        <w:rPr>
          <w:rStyle w:val="2Char"/>
          <w:rFonts w:ascii="仿宋" w:eastAsia="仿宋" w:hAnsi="仿宋" w:cs="Times New Roman"/>
          <w:b w:val="0"/>
          <w:kern w:val="44"/>
          <w:sz w:val="24"/>
          <w:szCs w:val="24"/>
        </w:rPr>
      </w:pPr>
      <w:r w:rsidRPr="00900D8B">
        <w:rPr>
          <w:rStyle w:val="2Char"/>
          <w:rFonts w:ascii="黑体" w:eastAsia="黑体" w:hAnsi="黑体" w:hint="eastAsia"/>
          <w:b w:val="0"/>
        </w:rPr>
        <w:t>一、</w:t>
      </w:r>
      <w:r w:rsidR="005360AC" w:rsidRPr="00900D8B">
        <w:rPr>
          <w:rStyle w:val="2Char"/>
          <w:rFonts w:ascii="黑体" w:eastAsia="黑体" w:hAnsi="黑体" w:hint="eastAsia"/>
          <w:b w:val="0"/>
        </w:rPr>
        <w:t>职能简介</w:t>
      </w:r>
    </w:p>
    <w:p w:rsidR="00E37ED8" w:rsidRDefault="00884129" w:rsidP="00E37ED8">
      <w:pPr>
        <w:pStyle w:val="a9"/>
        <w:snapToGrid w:val="0"/>
        <w:spacing w:line="600" w:lineRule="exact"/>
        <w:ind w:firstLine="640"/>
        <w:rPr>
          <w:rFonts w:ascii="仿宋_GB2312" w:eastAsia="仿宋_GB2312" w:hAnsi="Tahoma" w:cs="Tahoma"/>
          <w:color w:val="2B2B2B"/>
          <w:kern w:val="0"/>
          <w:sz w:val="32"/>
          <w:szCs w:val="32"/>
        </w:rPr>
      </w:pPr>
      <w:r w:rsidRPr="00884129">
        <w:rPr>
          <w:rFonts w:ascii="仿宋_GB2312" w:eastAsia="仿宋_GB2312" w:hAnsi="Tahoma" w:cs="Tahoma" w:hint="eastAsia"/>
          <w:color w:val="2B2B2B"/>
          <w:kern w:val="0"/>
          <w:sz w:val="32"/>
          <w:szCs w:val="32"/>
        </w:rPr>
        <w:t>省委政法委是省委领导</w:t>
      </w:r>
      <w:r w:rsidR="00B77B29">
        <w:rPr>
          <w:rFonts w:ascii="仿宋_GB2312" w:eastAsia="仿宋_GB2312" w:hAnsi="Tahoma" w:cs="Tahoma" w:hint="eastAsia"/>
          <w:color w:val="2B2B2B"/>
          <w:kern w:val="0"/>
          <w:sz w:val="32"/>
          <w:szCs w:val="32"/>
        </w:rPr>
        <w:t>和</w:t>
      </w:r>
      <w:r w:rsidRPr="00884129">
        <w:rPr>
          <w:rFonts w:ascii="仿宋_GB2312" w:eastAsia="仿宋_GB2312" w:hAnsi="Tahoma" w:cs="Tahoma" w:hint="eastAsia"/>
          <w:color w:val="2B2B2B"/>
          <w:kern w:val="0"/>
          <w:sz w:val="32"/>
          <w:szCs w:val="32"/>
        </w:rPr>
        <w:t>管理政法工作的职能部门。在省委的统一领导下，统筹协调维护政治安全、社会治安综合治理、维护社会稳定等工作，加强执法监督，组织开展政法宣传和舆论引导，深化政法改革，推进平安四川、法治四川建设，加强过硬队伍建设，深化智能化建设，协同省级有关职能部门管理监督政法领导干部，组织开展政法领域的调查研究。</w:t>
      </w:r>
    </w:p>
    <w:p w:rsidR="00EC5B1E" w:rsidRPr="00E37ED8" w:rsidRDefault="00E37ED8" w:rsidP="00E37ED8">
      <w:pPr>
        <w:pStyle w:val="a9"/>
        <w:snapToGrid w:val="0"/>
        <w:spacing w:line="600" w:lineRule="exact"/>
        <w:ind w:firstLine="643"/>
        <w:rPr>
          <w:rStyle w:val="2Char"/>
          <w:rFonts w:ascii="黑体" w:eastAsia="黑体" w:hAnsi="黑体" w:cs="Tahoma"/>
          <w:b w:val="0"/>
          <w:bCs w:val="0"/>
          <w:color w:val="2B2B2B"/>
          <w:kern w:val="0"/>
        </w:rPr>
      </w:pPr>
      <w:r w:rsidRPr="00E37ED8">
        <w:rPr>
          <w:rFonts w:ascii="黑体" w:eastAsia="黑体" w:hAnsi="黑体" w:cs="Tahoma" w:hint="eastAsia"/>
          <w:b/>
          <w:color w:val="2B2B2B"/>
          <w:kern w:val="0"/>
          <w:sz w:val="32"/>
          <w:szCs w:val="32"/>
        </w:rPr>
        <w:t>二、</w:t>
      </w:r>
      <w:r w:rsidR="005360AC" w:rsidRPr="00E37ED8">
        <w:rPr>
          <w:rStyle w:val="2Char"/>
          <w:rFonts w:ascii="黑体" w:eastAsia="黑体" w:hAnsi="黑体" w:hint="eastAsia"/>
          <w:b w:val="0"/>
        </w:rPr>
        <w:t>202</w:t>
      </w:r>
      <w:r w:rsidR="00A2139D" w:rsidRPr="00E37ED8">
        <w:rPr>
          <w:rStyle w:val="2Char"/>
          <w:rFonts w:ascii="黑体" w:eastAsia="黑体" w:hAnsi="黑体" w:hint="eastAsia"/>
          <w:b w:val="0"/>
        </w:rPr>
        <w:t>1</w:t>
      </w:r>
      <w:r w:rsidR="005360AC" w:rsidRPr="00E37ED8">
        <w:rPr>
          <w:rStyle w:val="2Char"/>
          <w:rFonts w:ascii="黑体" w:eastAsia="黑体" w:hAnsi="黑体" w:hint="eastAsia"/>
          <w:b w:val="0"/>
        </w:rPr>
        <w:t>年重点工作</w:t>
      </w:r>
      <w:bookmarkEnd w:id="14"/>
      <w:bookmarkEnd w:id="15"/>
      <w:r w:rsidR="005360AC" w:rsidRPr="00E37ED8">
        <w:rPr>
          <w:rStyle w:val="2Char"/>
          <w:rFonts w:ascii="黑体" w:eastAsia="黑体" w:hAnsi="黑体" w:hint="eastAsia"/>
          <w:b w:val="0"/>
        </w:rPr>
        <w:t>完成情况</w:t>
      </w:r>
    </w:p>
    <w:p w:rsidR="00E37ED8" w:rsidRDefault="00A2139D" w:rsidP="00E37ED8">
      <w:pPr>
        <w:spacing w:line="600" w:lineRule="exact"/>
        <w:ind w:firstLineChars="200" w:firstLine="640"/>
        <w:rPr>
          <w:rFonts w:ascii="仿宋_GB2312" w:eastAsia="仿宋_GB2312" w:hAnsi="Tahoma" w:cs="Tahoma"/>
          <w:color w:val="2B2B2B"/>
          <w:kern w:val="0"/>
          <w:sz w:val="32"/>
          <w:szCs w:val="32"/>
        </w:rPr>
      </w:pPr>
      <w:bookmarkStart w:id="16" w:name="_Toc15377204"/>
      <w:bookmarkStart w:id="17" w:name="_Toc15396602"/>
      <w:r w:rsidRPr="00233EB6">
        <w:rPr>
          <w:rFonts w:ascii="仿宋_GB2312" w:eastAsia="仿宋_GB2312" w:hAnsi="Tahoma" w:cs="Tahoma" w:hint="eastAsia"/>
          <w:color w:val="2B2B2B"/>
          <w:sz w:val="32"/>
          <w:szCs w:val="32"/>
        </w:rPr>
        <w:t>2021</w:t>
      </w:r>
      <w:r w:rsidRPr="00233EB6">
        <w:rPr>
          <w:rFonts w:ascii="仿宋_GB2312" w:eastAsia="仿宋_GB2312" w:hAnsi="Tahoma" w:cs="Tahoma" w:hint="eastAsia"/>
          <w:color w:val="2B2B2B"/>
          <w:kern w:val="0"/>
          <w:sz w:val="32"/>
          <w:szCs w:val="32"/>
        </w:rPr>
        <w:t>年，在省委坚强领导下，我委带领全省政法系统以庆祝建党</w:t>
      </w:r>
      <w:r w:rsidRPr="00233EB6">
        <w:rPr>
          <w:rFonts w:ascii="仿宋_GB2312" w:eastAsia="仿宋_GB2312" w:hAnsi="Tahoma" w:cs="Tahoma" w:hint="eastAsia"/>
          <w:color w:val="2B2B2B"/>
          <w:sz w:val="32"/>
          <w:szCs w:val="32"/>
        </w:rPr>
        <w:t>100</w:t>
      </w:r>
      <w:r w:rsidRPr="00233EB6">
        <w:rPr>
          <w:rFonts w:ascii="仿宋_GB2312" w:eastAsia="仿宋_GB2312" w:hAnsi="Tahoma" w:cs="Tahoma" w:hint="eastAsia"/>
          <w:color w:val="2B2B2B"/>
          <w:kern w:val="0"/>
          <w:sz w:val="32"/>
          <w:szCs w:val="32"/>
        </w:rPr>
        <w:t>周年安保</w:t>
      </w:r>
      <w:proofErr w:type="gramStart"/>
      <w:r w:rsidRPr="00233EB6">
        <w:rPr>
          <w:rFonts w:ascii="仿宋_GB2312" w:eastAsia="仿宋_GB2312" w:hAnsi="Tahoma" w:cs="Tahoma" w:hint="eastAsia"/>
          <w:color w:val="2B2B2B"/>
          <w:kern w:val="0"/>
          <w:sz w:val="32"/>
          <w:szCs w:val="32"/>
        </w:rPr>
        <w:t>维稳工作</w:t>
      </w:r>
      <w:proofErr w:type="gramEnd"/>
      <w:r w:rsidRPr="00233EB6">
        <w:rPr>
          <w:rFonts w:ascii="仿宋_GB2312" w:eastAsia="仿宋_GB2312" w:hAnsi="Tahoma" w:cs="Tahoma" w:hint="eastAsia"/>
          <w:color w:val="2B2B2B"/>
          <w:kern w:val="0"/>
          <w:sz w:val="32"/>
          <w:szCs w:val="32"/>
        </w:rPr>
        <w:t>为主线，持续推进平安四川、法治四川建设，有力服务保障经济社会高质量发展，为实现我省“十四五”良好开局提供了坚强政法保障。</w:t>
      </w:r>
      <w:r w:rsidRPr="00233EB6">
        <w:rPr>
          <w:rFonts w:ascii="仿宋_GB2312" w:eastAsia="仿宋_GB2312" w:hint="eastAsia"/>
          <w:b/>
          <w:snapToGrid w:val="0"/>
          <w:color w:val="000000"/>
          <w:spacing w:val="-6"/>
          <w:kern w:val="0"/>
          <w:sz w:val="32"/>
          <w:szCs w:val="32"/>
        </w:rPr>
        <w:t>一是持续强化党的领导。</w:t>
      </w:r>
      <w:r w:rsidRPr="00233EB6">
        <w:rPr>
          <w:rFonts w:ascii="仿宋_GB2312" w:eastAsia="仿宋_GB2312" w:hAnsi="Tahoma" w:cs="Tahoma" w:hint="eastAsia"/>
          <w:color w:val="2B2B2B"/>
          <w:kern w:val="0"/>
          <w:sz w:val="32"/>
          <w:szCs w:val="32"/>
        </w:rPr>
        <w:t>扎实开展党史学习教育，深入学习党的十九届六中全会精神和习近平法治思想，增强拥护“两个确立”、</w:t>
      </w:r>
      <w:proofErr w:type="gramStart"/>
      <w:r w:rsidRPr="00233EB6">
        <w:rPr>
          <w:rFonts w:ascii="仿宋_GB2312" w:eastAsia="仿宋_GB2312" w:hAnsi="Tahoma" w:cs="Tahoma" w:hint="eastAsia"/>
          <w:color w:val="2B2B2B"/>
          <w:kern w:val="0"/>
          <w:sz w:val="32"/>
          <w:szCs w:val="32"/>
        </w:rPr>
        <w:t>践行</w:t>
      </w:r>
      <w:proofErr w:type="gramEnd"/>
      <w:r w:rsidRPr="00233EB6">
        <w:rPr>
          <w:rFonts w:ascii="仿宋_GB2312" w:eastAsia="仿宋_GB2312" w:hAnsi="Tahoma" w:cs="Tahoma" w:hint="eastAsia"/>
          <w:color w:val="2B2B2B"/>
          <w:kern w:val="0"/>
          <w:sz w:val="32"/>
          <w:szCs w:val="32"/>
        </w:rPr>
        <w:t>“两个维护”的政治自觉。开展政法工作条例及我省实施细则落实情况自查，进一步强化党的绝对领导。</w:t>
      </w:r>
      <w:r w:rsidRPr="00233EB6">
        <w:rPr>
          <w:rFonts w:ascii="仿宋_GB2312" w:eastAsia="仿宋_GB2312" w:hint="eastAsia"/>
          <w:b/>
          <w:snapToGrid w:val="0"/>
          <w:color w:val="000000"/>
          <w:spacing w:val="-6"/>
          <w:kern w:val="0"/>
          <w:sz w:val="32"/>
          <w:szCs w:val="32"/>
        </w:rPr>
        <w:t>二是坚决维护政治社会大局稳定。</w:t>
      </w:r>
      <w:r w:rsidRPr="00233EB6">
        <w:rPr>
          <w:rFonts w:ascii="仿宋_GB2312" w:eastAsia="仿宋_GB2312" w:hAnsi="Tahoma" w:cs="Tahoma" w:hint="eastAsia"/>
          <w:color w:val="2B2B2B"/>
          <w:kern w:val="0"/>
          <w:sz w:val="32"/>
          <w:szCs w:val="32"/>
        </w:rPr>
        <w:t>深化</w:t>
      </w:r>
      <w:proofErr w:type="gramStart"/>
      <w:r w:rsidRPr="00233EB6">
        <w:rPr>
          <w:rFonts w:ascii="仿宋_GB2312" w:eastAsia="仿宋_GB2312" w:hAnsi="Tahoma" w:cs="Tahoma" w:hint="eastAsia"/>
          <w:color w:val="2B2B2B"/>
          <w:kern w:val="0"/>
          <w:sz w:val="32"/>
          <w:szCs w:val="32"/>
        </w:rPr>
        <w:t>涉藏反分维稳</w:t>
      </w:r>
      <w:proofErr w:type="gramEnd"/>
      <w:r w:rsidRPr="00233EB6">
        <w:rPr>
          <w:rFonts w:ascii="仿宋_GB2312" w:eastAsia="仿宋_GB2312" w:hAnsi="Tahoma" w:cs="Tahoma" w:hint="eastAsia"/>
          <w:color w:val="2B2B2B"/>
          <w:kern w:val="0"/>
          <w:sz w:val="32"/>
          <w:szCs w:val="32"/>
        </w:rPr>
        <w:t>工作，</w:t>
      </w:r>
      <w:proofErr w:type="gramStart"/>
      <w:r w:rsidRPr="00233EB6">
        <w:rPr>
          <w:rFonts w:ascii="仿宋_GB2312" w:eastAsia="仿宋_GB2312" w:hAnsi="Tahoma" w:cs="Tahoma" w:hint="eastAsia"/>
          <w:color w:val="2B2B2B"/>
          <w:kern w:val="0"/>
          <w:sz w:val="32"/>
          <w:szCs w:val="32"/>
        </w:rPr>
        <w:t>统筹抓好</w:t>
      </w:r>
      <w:proofErr w:type="gramEnd"/>
      <w:r w:rsidRPr="00233EB6">
        <w:rPr>
          <w:rFonts w:ascii="仿宋_GB2312" w:eastAsia="仿宋_GB2312" w:hAnsi="Tahoma" w:cs="Tahoma" w:hint="eastAsia"/>
          <w:color w:val="2B2B2B"/>
          <w:kern w:val="0"/>
          <w:sz w:val="32"/>
          <w:szCs w:val="32"/>
        </w:rPr>
        <w:t>反渗透反分裂反恐怖反间谍反邪教工作，开展重大风险集中化解攻坚行动，全省政治社会大局持续稳定。</w:t>
      </w:r>
      <w:r w:rsidRPr="00233EB6">
        <w:rPr>
          <w:rFonts w:ascii="仿宋_GB2312" w:eastAsia="仿宋_GB2312" w:hint="eastAsia"/>
          <w:b/>
          <w:snapToGrid w:val="0"/>
          <w:color w:val="000000"/>
          <w:spacing w:val="-6"/>
          <w:kern w:val="0"/>
          <w:sz w:val="32"/>
          <w:szCs w:val="32"/>
        </w:rPr>
        <w:t>三是扎实建设平安四川。</w:t>
      </w:r>
      <w:proofErr w:type="gramStart"/>
      <w:r w:rsidRPr="00233EB6">
        <w:rPr>
          <w:rFonts w:ascii="仿宋_GB2312" w:eastAsia="仿宋_GB2312" w:hAnsi="Tahoma" w:cs="Tahoma" w:hint="eastAsia"/>
          <w:color w:val="2B2B2B"/>
          <w:kern w:val="0"/>
          <w:sz w:val="32"/>
          <w:szCs w:val="32"/>
        </w:rPr>
        <w:t>深化市域社会</w:t>
      </w:r>
      <w:proofErr w:type="gramEnd"/>
      <w:r w:rsidRPr="00233EB6">
        <w:rPr>
          <w:rFonts w:ascii="仿宋_GB2312" w:eastAsia="仿宋_GB2312" w:hAnsi="Tahoma" w:cs="Tahoma" w:hint="eastAsia"/>
          <w:color w:val="2B2B2B"/>
          <w:kern w:val="0"/>
          <w:sz w:val="32"/>
          <w:szCs w:val="32"/>
        </w:rPr>
        <w:t>治理现代化试点工作，形成一批在全国推广的试点经验。常态</w:t>
      </w:r>
      <w:proofErr w:type="gramStart"/>
      <w:r w:rsidRPr="00233EB6">
        <w:rPr>
          <w:rFonts w:ascii="仿宋_GB2312" w:eastAsia="仿宋_GB2312" w:hAnsi="Tahoma" w:cs="Tahoma" w:hint="eastAsia"/>
          <w:color w:val="2B2B2B"/>
          <w:kern w:val="0"/>
          <w:sz w:val="32"/>
          <w:szCs w:val="32"/>
        </w:rPr>
        <w:t>化开展</w:t>
      </w:r>
      <w:proofErr w:type="gramEnd"/>
      <w:r w:rsidRPr="00233EB6">
        <w:rPr>
          <w:rFonts w:ascii="仿宋_GB2312" w:eastAsia="仿宋_GB2312" w:hAnsi="Tahoma" w:cs="Tahoma" w:hint="eastAsia"/>
          <w:color w:val="2B2B2B"/>
          <w:kern w:val="0"/>
          <w:sz w:val="32"/>
          <w:szCs w:val="32"/>
        </w:rPr>
        <w:t>扫黑除恶斗争，现行命案</w:t>
      </w:r>
      <w:r w:rsidRPr="00233EB6">
        <w:rPr>
          <w:rFonts w:ascii="仿宋_GB2312" w:eastAsia="仿宋_GB2312" w:hAnsi="Tahoma" w:cs="Tahoma" w:hint="eastAsia"/>
          <w:color w:val="2B2B2B"/>
          <w:kern w:val="0"/>
          <w:sz w:val="32"/>
          <w:szCs w:val="32"/>
        </w:rPr>
        <w:lastRenderedPageBreak/>
        <w:t>全破，电信网络诈骗、</w:t>
      </w:r>
      <w:proofErr w:type="gramStart"/>
      <w:r w:rsidRPr="00233EB6">
        <w:rPr>
          <w:rFonts w:ascii="仿宋_GB2312" w:eastAsia="仿宋_GB2312" w:hAnsi="Tahoma" w:cs="Tahoma" w:hint="eastAsia"/>
          <w:color w:val="2B2B2B"/>
          <w:kern w:val="0"/>
          <w:sz w:val="32"/>
          <w:szCs w:val="32"/>
        </w:rPr>
        <w:t>环蓉地区</w:t>
      </w:r>
      <w:proofErr w:type="gramEnd"/>
      <w:r w:rsidRPr="00233EB6">
        <w:rPr>
          <w:rFonts w:ascii="仿宋_GB2312" w:eastAsia="仿宋_GB2312" w:hAnsi="Tahoma" w:cs="Tahoma" w:hint="eastAsia"/>
          <w:color w:val="2B2B2B"/>
          <w:kern w:val="0"/>
          <w:sz w:val="32"/>
          <w:szCs w:val="32"/>
        </w:rPr>
        <w:t>制毒等突出问题得到有效治理，及时消除一批公共安全隐患，平安四川建设取得新成效。</w:t>
      </w:r>
      <w:r w:rsidRPr="00233EB6">
        <w:rPr>
          <w:rFonts w:ascii="仿宋_GB2312" w:eastAsia="仿宋_GB2312" w:hint="eastAsia"/>
          <w:b/>
          <w:snapToGrid w:val="0"/>
          <w:color w:val="000000"/>
          <w:spacing w:val="-6"/>
          <w:kern w:val="0"/>
          <w:sz w:val="32"/>
          <w:szCs w:val="32"/>
        </w:rPr>
        <w:t>四是有力服务保障经济社会高质量发展。</w:t>
      </w:r>
      <w:r w:rsidRPr="00233EB6">
        <w:rPr>
          <w:rFonts w:ascii="仿宋_GB2312" w:eastAsia="仿宋_GB2312" w:hAnsi="Tahoma" w:cs="Tahoma" w:hint="eastAsia"/>
          <w:color w:val="2B2B2B"/>
          <w:kern w:val="0"/>
          <w:sz w:val="32"/>
          <w:szCs w:val="32"/>
        </w:rPr>
        <w:t>深化川渝政法领域务实合作，高标准规划建设天府中央法</w:t>
      </w:r>
      <w:proofErr w:type="gramStart"/>
      <w:r w:rsidRPr="00233EB6">
        <w:rPr>
          <w:rFonts w:ascii="仿宋_GB2312" w:eastAsia="仿宋_GB2312" w:hAnsi="Tahoma" w:cs="Tahoma" w:hint="eastAsia"/>
          <w:color w:val="2B2B2B"/>
          <w:kern w:val="0"/>
          <w:sz w:val="32"/>
          <w:szCs w:val="32"/>
        </w:rPr>
        <w:t>务</w:t>
      </w:r>
      <w:proofErr w:type="gramEnd"/>
      <w:r w:rsidRPr="00233EB6">
        <w:rPr>
          <w:rFonts w:ascii="仿宋_GB2312" w:eastAsia="仿宋_GB2312" w:hAnsi="Tahoma" w:cs="Tahoma" w:hint="eastAsia"/>
          <w:color w:val="2B2B2B"/>
          <w:kern w:val="0"/>
          <w:sz w:val="32"/>
          <w:szCs w:val="32"/>
        </w:rPr>
        <w:t>区，持续优化法治化营商环境，积极服务绿色低碳发展，开展“四川政法为民十大行动”，有力护航高质量发展。</w:t>
      </w:r>
      <w:r w:rsidRPr="00233EB6">
        <w:rPr>
          <w:rFonts w:ascii="仿宋_GB2312" w:eastAsia="仿宋_GB2312" w:hint="eastAsia"/>
          <w:b/>
          <w:snapToGrid w:val="0"/>
          <w:color w:val="000000"/>
          <w:spacing w:val="-6"/>
          <w:kern w:val="0"/>
          <w:sz w:val="32"/>
          <w:szCs w:val="32"/>
        </w:rPr>
        <w:t>五是深化政法领域改革。</w:t>
      </w:r>
      <w:r w:rsidRPr="00233EB6">
        <w:rPr>
          <w:rFonts w:ascii="仿宋_GB2312" w:eastAsia="仿宋_GB2312" w:hAnsi="Tahoma" w:cs="Tahoma" w:hint="eastAsia"/>
          <w:color w:val="2B2B2B"/>
          <w:kern w:val="0"/>
          <w:sz w:val="32"/>
          <w:szCs w:val="32"/>
        </w:rPr>
        <w:t>持续优化政法机构职能体系，不断健全执法司法制约监督机制，大力提升政法公共服务效能，积极构建</w:t>
      </w:r>
      <w:proofErr w:type="gramStart"/>
      <w:r w:rsidRPr="00233EB6">
        <w:rPr>
          <w:rFonts w:ascii="仿宋_GB2312" w:eastAsia="仿宋_GB2312" w:hAnsi="Tahoma" w:cs="Tahoma" w:hint="eastAsia"/>
          <w:color w:val="2B2B2B"/>
          <w:kern w:val="0"/>
          <w:sz w:val="32"/>
          <w:szCs w:val="32"/>
        </w:rPr>
        <w:t>智慧政法体系</w:t>
      </w:r>
      <w:proofErr w:type="gramEnd"/>
      <w:r w:rsidRPr="00233EB6">
        <w:rPr>
          <w:rFonts w:ascii="仿宋_GB2312" w:eastAsia="仿宋_GB2312" w:hAnsi="Tahoma" w:cs="Tahoma" w:hint="eastAsia"/>
          <w:color w:val="2B2B2B"/>
          <w:kern w:val="0"/>
          <w:sz w:val="32"/>
          <w:szCs w:val="32"/>
        </w:rPr>
        <w:t>，各项改革任务有力有序推进，多项工作走在全国前列。</w:t>
      </w:r>
      <w:r w:rsidRPr="00233EB6">
        <w:rPr>
          <w:rFonts w:ascii="仿宋_GB2312" w:eastAsia="仿宋_GB2312" w:hint="eastAsia"/>
          <w:b/>
          <w:snapToGrid w:val="0"/>
          <w:color w:val="000000"/>
          <w:spacing w:val="-6"/>
          <w:kern w:val="0"/>
          <w:sz w:val="32"/>
          <w:szCs w:val="32"/>
        </w:rPr>
        <w:t>六是强化政法队伍建设。</w:t>
      </w:r>
      <w:r w:rsidRPr="00233EB6">
        <w:rPr>
          <w:rFonts w:ascii="仿宋_GB2312" w:eastAsia="仿宋_GB2312" w:hAnsi="Tahoma" w:cs="Tahoma" w:hint="eastAsia"/>
          <w:color w:val="2B2B2B"/>
          <w:kern w:val="0"/>
          <w:sz w:val="32"/>
          <w:szCs w:val="32"/>
        </w:rPr>
        <w:t>在省委统一领导和</w:t>
      </w:r>
      <w:r w:rsidR="00E37ED8">
        <w:rPr>
          <w:rFonts w:ascii="仿宋_GB2312" w:eastAsia="仿宋_GB2312" w:hAnsi="Tahoma" w:cs="Tahoma" w:hint="eastAsia"/>
          <w:color w:val="2B2B2B"/>
          <w:kern w:val="0"/>
          <w:sz w:val="32"/>
          <w:szCs w:val="32"/>
        </w:rPr>
        <w:t>中央政法</w:t>
      </w:r>
      <w:proofErr w:type="gramStart"/>
      <w:r w:rsidR="00E37ED8">
        <w:rPr>
          <w:rFonts w:ascii="仿宋_GB2312" w:eastAsia="仿宋_GB2312" w:hAnsi="Tahoma" w:cs="Tahoma" w:hint="eastAsia"/>
          <w:color w:val="2B2B2B"/>
          <w:kern w:val="0"/>
          <w:sz w:val="32"/>
          <w:szCs w:val="32"/>
        </w:rPr>
        <w:t>委有力</w:t>
      </w:r>
      <w:proofErr w:type="gramEnd"/>
      <w:r w:rsidR="00E37ED8">
        <w:rPr>
          <w:rFonts w:ascii="仿宋_GB2312" w:eastAsia="仿宋_GB2312" w:hAnsi="Tahoma" w:cs="Tahoma" w:hint="eastAsia"/>
          <w:color w:val="2B2B2B"/>
          <w:kern w:val="0"/>
          <w:sz w:val="32"/>
          <w:szCs w:val="32"/>
        </w:rPr>
        <w:t>指导</w:t>
      </w:r>
      <w:r w:rsidRPr="00233EB6">
        <w:rPr>
          <w:rFonts w:ascii="仿宋_GB2312" w:eastAsia="仿宋_GB2312" w:hAnsi="Tahoma" w:cs="Tahoma" w:hint="eastAsia"/>
          <w:color w:val="2B2B2B"/>
          <w:kern w:val="0"/>
          <w:sz w:val="32"/>
          <w:szCs w:val="32"/>
        </w:rPr>
        <w:t>下，两批次接续用力推进政法队伍教育整顿，整治“六大顽</w:t>
      </w:r>
      <w:proofErr w:type="gramStart"/>
      <w:r w:rsidRPr="00233EB6">
        <w:rPr>
          <w:rFonts w:ascii="仿宋_GB2312" w:eastAsia="仿宋_GB2312" w:hAnsi="Tahoma" w:cs="Tahoma" w:hint="eastAsia"/>
          <w:color w:val="2B2B2B"/>
          <w:kern w:val="0"/>
          <w:sz w:val="32"/>
          <w:szCs w:val="32"/>
        </w:rPr>
        <w:t>瘴</w:t>
      </w:r>
      <w:proofErr w:type="gramEnd"/>
      <w:r w:rsidRPr="00233EB6">
        <w:rPr>
          <w:rFonts w:ascii="仿宋_GB2312" w:eastAsia="仿宋_GB2312" w:hAnsi="Tahoma" w:cs="Tahoma" w:hint="eastAsia"/>
          <w:color w:val="2B2B2B"/>
          <w:kern w:val="0"/>
          <w:sz w:val="32"/>
          <w:szCs w:val="32"/>
        </w:rPr>
        <w:t>痼疾”等多项数据指标位居全国前列，多项制度被全国教育整顿办在全国推广，政法队伍精神面貌焕然一新。</w:t>
      </w:r>
    </w:p>
    <w:p w:rsidR="005B2686" w:rsidRPr="009200D3" w:rsidRDefault="005B2686" w:rsidP="005B2686">
      <w:pPr>
        <w:pStyle w:val="2"/>
        <w:ind w:firstLineChars="200" w:firstLine="640"/>
        <w:rPr>
          <w:rStyle w:val="2Char"/>
          <w:rFonts w:ascii="黑体" w:eastAsia="黑体" w:hAnsi="黑体"/>
        </w:rPr>
      </w:pPr>
      <w:r w:rsidRPr="009200D3">
        <w:rPr>
          <w:rStyle w:val="2Char"/>
          <w:rFonts w:ascii="黑体" w:eastAsia="黑体" w:hAnsi="黑体" w:hint="eastAsia"/>
        </w:rPr>
        <w:t>三、机构设置情况</w:t>
      </w:r>
    </w:p>
    <w:p w:rsidR="005B2686" w:rsidRDefault="00DD278A" w:rsidP="005B2686">
      <w:pPr>
        <w:pStyle w:val="a9"/>
        <w:snapToGrid w:val="0"/>
        <w:spacing w:line="580" w:lineRule="exact"/>
        <w:ind w:firstLine="640"/>
        <w:rPr>
          <w:rFonts w:ascii="仿宋_GB2312" w:eastAsia="仿宋_GB2312" w:hAnsi="Tahoma" w:cs="Tahoma"/>
          <w:color w:val="2B2B2B"/>
          <w:kern w:val="0"/>
          <w:sz w:val="32"/>
          <w:szCs w:val="32"/>
        </w:rPr>
      </w:pPr>
      <w:r>
        <w:rPr>
          <w:rFonts w:ascii="仿宋_GB2312" w:eastAsia="仿宋_GB2312" w:hAnsi="Tahoma" w:cs="Tahoma" w:hint="eastAsia"/>
          <w:color w:val="2B2B2B"/>
          <w:kern w:val="0"/>
          <w:sz w:val="32"/>
          <w:szCs w:val="32"/>
        </w:rPr>
        <w:t>机关由17个内设机构组成，分别是：</w:t>
      </w:r>
      <w:r w:rsidR="005B2686">
        <w:rPr>
          <w:rFonts w:ascii="仿宋_GB2312" w:eastAsia="仿宋_GB2312" w:hAnsi="Tahoma" w:cs="Tahoma" w:hint="eastAsia"/>
          <w:color w:val="2B2B2B"/>
          <w:kern w:val="0"/>
          <w:sz w:val="32"/>
          <w:szCs w:val="32"/>
        </w:rPr>
        <w:t>办公室、政策研究处、政治安全处、</w:t>
      </w:r>
      <w:proofErr w:type="gramStart"/>
      <w:r w:rsidR="005B2686">
        <w:rPr>
          <w:rFonts w:ascii="仿宋_GB2312" w:eastAsia="仿宋_GB2312" w:hAnsi="Tahoma" w:cs="Tahoma" w:hint="eastAsia"/>
          <w:color w:val="2B2B2B"/>
          <w:kern w:val="0"/>
          <w:sz w:val="32"/>
          <w:szCs w:val="32"/>
        </w:rPr>
        <w:t>维稳指导</w:t>
      </w:r>
      <w:proofErr w:type="gramEnd"/>
      <w:r w:rsidR="005B2686">
        <w:rPr>
          <w:rFonts w:ascii="仿宋_GB2312" w:eastAsia="仿宋_GB2312" w:hAnsi="Tahoma" w:cs="Tahoma" w:hint="eastAsia"/>
          <w:color w:val="2B2B2B"/>
          <w:kern w:val="0"/>
          <w:sz w:val="32"/>
          <w:szCs w:val="32"/>
        </w:rPr>
        <w:t>处、综治督导处、基层社会治理处、平安建设指导处、执法监督处、法治处、宣传指导处、智能化建设指导处、组织建设处、纪律作风建设处、干部工作处、机关党委、省纪委监委驻省委政法委纪检监察组等。</w:t>
      </w:r>
    </w:p>
    <w:p w:rsidR="00E37ED8" w:rsidRPr="005B2686" w:rsidRDefault="00E37ED8" w:rsidP="00E37ED8">
      <w:pPr>
        <w:spacing w:line="600" w:lineRule="exact"/>
        <w:ind w:firstLineChars="200" w:firstLine="640"/>
        <w:rPr>
          <w:rFonts w:ascii="仿宋_GB2312" w:eastAsia="仿宋_GB2312" w:hAnsi="Tahoma" w:cs="Tahoma"/>
          <w:color w:val="2B2B2B"/>
          <w:kern w:val="0"/>
          <w:sz w:val="32"/>
          <w:szCs w:val="32"/>
        </w:rPr>
      </w:pPr>
    </w:p>
    <w:p w:rsidR="00E37ED8" w:rsidRDefault="00E37ED8" w:rsidP="00E37ED8">
      <w:pPr>
        <w:spacing w:line="600" w:lineRule="exact"/>
        <w:ind w:firstLineChars="200" w:firstLine="640"/>
        <w:rPr>
          <w:rFonts w:ascii="仿宋_GB2312" w:eastAsia="仿宋_GB2312" w:hAnsi="Tahoma" w:cs="Tahoma"/>
          <w:color w:val="2B2B2B"/>
          <w:kern w:val="0"/>
          <w:sz w:val="32"/>
          <w:szCs w:val="32"/>
        </w:rPr>
      </w:pPr>
    </w:p>
    <w:p w:rsidR="00E37ED8" w:rsidRDefault="00E37ED8" w:rsidP="00E37ED8">
      <w:pPr>
        <w:spacing w:line="600" w:lineRule="exact"/>
        <w:ind w:firstLineChars="200" w:firstLine="640"/>
        <w:rPr>
          <w:rFonts w:ascii="仿宋_GB2312" w:eastAsia="仿宋_GB2312" w:hAnsi="Tahoma" w:cs="Tahoma"/>
          <w:color w:val="2B2B2B"/>
          <w:kern w:val="0"/>
          <w:sz w:val="32"/>
          <w:szCs w:val="32"/>
        </w:rPr>
      </w:pPr>
    </w:p>
    <w:p w:rsidR="00E6420A" w:rsidRPr="00E37ED8" w:rsidRDefault="005360AC" w:rsidP="00E37ED8">
      <w:pPr>
        <w:spacing w:line="600" w:lineRule="exact"/>
        <w:ind w:firstLineChars="200" w:firstLine="880"/>
        <w:jc w:val="center"/>
        <w:rPr>
          <w:rStyle w:val="1Char"/>
          <w:rFonts w:ascii="仿宋_GB2312" w:eastAsia="仿宋_GB2312" w:hAnsi="Tahoma" w:cs="Tahoma"/>
          <w:b w:val="0"/>
          <w:bCs w:val="0"/>
          <w:color w:val="2B2B2B"/>
          <w:kern w:val="0"/>
        </w:rPr>
      </w:pPr>
      <w:r w:rsidRPr="00E37ED8">
        <w:rPr>
          <w:rFonts w:ascii="黑体" w:eastAsia="黑体" w:hAnsi="黑体" w:hint="eastAsia"/>
          <w:sz w:val="44"/>
          <w:szCs w:val="44"/>
        </w:rPr>
        <w:lastRenderedPageBreak/>
        <w:t>第二部分</w:t>
      </w:r>
      <w:r w:rsidR="00AC2550" w:rsidRPr="00E37ED8">
        <w:rPr>
          <w:rFonts w:ascii="黑体" w:eastAsia="黑体" w:hAnsi="黑体" w:hint="eastAsia"/>
          <w:sz w:val="44"/>
          <w:szCs w:val="44"/>
        </w:rPr>
        <w:t xml:space="preserve"> 2021</w:t>
      </w:r>
      <w:r w:rsidRPr="00E37ED8">
        <w:rPr>
          <w:rFonts w:ascii="黑体" w:eastAsia="黑体" w:hAnsi="黑体" w:hint="eastAsia"/>
          <w:sz w:val="44"/>
          <w:szCs w:val="44"/>
        </w:rPr>
        <w:t>年度</w:t>
      </w:r>
      <w:r w:rsidR="00501C93" w:rsidRPr="00E37ED8">
        <w:rPr>
          <w:rStyle w:val="1Char"/>
          <w:rFonts w:ascii="黑体" w:eastAsia="黑体" w:hAnsi="黑体" w:hint="eastAsia"/>
        </w:rPr>
        <w:t>单位</w:t>
      </w:r>
      <w:r w:rsidRPr="00E37ED8">
        <w:rPr>
          <w:rStyle w:val="1Char"/>
          <w:rFonts w:ascii="黑体" w:eastAsia="黑体" w:hAnsi="黑体" w:hint="eastAsia"/>
        </w:rPr>
        <w:t>决算情况说明</w:t>
      </w:r>
      <w:bookmarkEnd w:id="16"/>
      <w:bookmarkEnd w:id="17"/>
    </w:p>
    <w:p w:rsidR="00E6420A" w:rsidRPr="00E37ED8" w:rsidRDefault="00E6420A">
      <w:pPr>
        <w:rPr>
          <w:sz w:val="32"/>
          <w:szCs w:val="32"/>
        </w:rPr>
      </w:pPr>
    </w:p>
    <w:p w:rsidR="00E6420A" w:rsidRDefault="005360AC" w:rsidP="00E37ED8">
      <w:pPr>
        <w:pStyle w:val="a9"/>
        <w:numPr>
          <w:ilvl w:val="0"/>
          <w:numId w:val="2"/>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A2139D" w:rsidRPr="00115EAF" w:rsidRDefault="00AC2550" w:rsidP="00E37ED8">
      <w:pPr>
        <w:spacing w:line="600" w:lineRule="exact"/>
        <w:ind w:firstLineChars="200" w:firstLine="640"/>
        <w:rPr>
          <w:rFonts w:ascii="仿宋" w:eastAsia="仿宋" w:hAnsi="仿宋"/>
          <w:sz w:val="32"/>
          <w:szCs w:val="32"/>
        </w:rPr>
      </w:pPr>
      <w:r>
        <w:rPr>
          <w:rFonts w:ascii="仿宋" w:eastAsia="仿宋" w:hAnsi="仿宋" w:hint="eastAsia"/>
          <w:sz w:val="32"/>
          <w:szCs w:val="32"/>
        </w:rPr>
        <w:t>2021</w:t>
      </w:r>
      <w:r w:rsidR="005360AC">
        <w:rPr>
          <w:rFonts w:ascii="仿宋" w:eastAsia="仿宋" w:hAnsi="仿宋" w:hint="eastAsia"/>
          <w:sz w:val="32"/>
          <w:szCs w:val="32"/>
        </w:rPr>
        <w:t>年度收、支总计</w:t>
      </w:r>
      <w:r>
        <w:rPr>
          <w:rFonts w:ascii="仿宋" w:eastAsia="仿宋" w:hAnsi="仿宋" w:hint="eastAsia"/>
          <w:sz w:val="32"/>
          <w:szCs w:val="32"/>
        </w:rPr>
        <w:t>10629.03</w:t>
      </w:r>
      <w:r w:rsidR="005360AC">
        <w:rPr>
          <w:rFonts w:ascii="仿宋" w:eastAsia="仿宋" w:hAnsi="仿宋" w:hint="eastAsia"/>
          <w:sz w:val="32"/>
          <w:szCs w:val="32"/>
        </w:rPr>
        <w:t>万元。与</w:t>
      </w:r>
      <w:r>
        <w:rPr>
          <w:rFonts w:ascii="仿宋" w:eastAsia="仿宋" w:hAnsi="仿宋" w:hint="eastAsia"/>
          <w:sz w:val="32"/>
          <w:szCs w:val="32"/>
        </w:rPr>
        <w:t>2020年相比，收、支总计各增加4947.51</w:t>
      </w:r>
      <w:r w:rsidR="005360AC">
        <w:rPr>
          <w:rFonts w:ascii="仿宋" w:eastAsia="仿宋" w:hAnsi="仿宋" w:hint="eastAsia"/>
          <w:sz w:val="32"/>
          <w:szCs w:val="32"/>
        </w:rPr>
        <w:t>万元，</w:t>
      </w:r>
      <w:r>
        <w:rPr>
          <w:rFonts w:ascii="仿宋" w:eastAsia="仿宋" w:hAnsi="仿宋" w:hint="eastAsia"/>
          <w:sz w:val="32"/>
          <w:szCs w:val="32"/>
        </w:rPr>
        <w:t>增长87.08%</w:t>
      </w:r>
      <w:r w:rsidR="005360AC">
        <w:rPr>
          <w:rFonts w:ascii="仿宋" w:eastAsia="仿宋" w:hAnsi="仿宋" w:hint="eastAsia"/>
          <w:sz w:val="32"/>
          <w:szCs w:val="32"/>
        </w:rPr>
        <w:t>。</w:t>
      </w:r>
      <w:r w:rsidR="00A2139D">
        <w:rPr>
          <w:rFonts w:ascii="仿宋" w:eastAsia="仿宋" w:hAnsi="仿宋" w:hint="eastAsia"/>
          <w:sz w:val="32"/>
          <w:szCs w:val="32"/>
        </w:rPr>
        <w:t>主要变动原因是</w:t>
      </w:r>
      <w:r w:rsidR="00A2139D" w:rsidRPr="00115EAF">
        <w:rPr>
          <w:rFonts w:ascii="仿宋" w:eastAsia="仿宋" w:hAnsi="仿宋" w:hint="eastAsia"/>
          <w:sz w:val="32"/>
          <w:szCs w:val="32"/>
        </w:rPr>
        <w:t>2021年新增涉案财物系统升级改造项目和四川省政法大数据平台建设项目导致经费增加。</w:t>
      </w:r>
    </w:p>
    <w:p w:rsidR="00A2139D" w:rsidRPr="00A2139D" w:rsidRDefault="00A2139D" w:rsidP="00A2139D">
      <w:pPr>
        <w:pStyle w:val="a0"/>
        <w:spacing w:before="93"/>
      </w:pPr>
    </w:p>
    <w:p w:rsidR="00726A56" w:rsidRPr="00726A56" w:rsidRDefault="00726A56" w:rsidP="00726A56">
      <w:pPr>
        <w:pStyle w:val="a0"/>
        <w:spacing w:before="93"/>
      </w:pPr>
      <w:r w:rsidRPr="00726A56">
        <w:rPr>
          <w:rFonts w:hint="eastAsia"/>
          <w:noProof/>
        </w:rPr>
        <w:drawing>
          <wp:inline distT="0" distB="0" distL="0" distR="0">
            <wp:extent cx="4874260" cy="2297463"/>
            <wp:effectExtent l="0" t="0" r="2540" b="0"/>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420A" w:rsidRDefault="005360AC">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E6420A" w:rsidRDefault="005360AC">
      <w:pPr>
        <w:pStyle w:val="a9"/>
        <w:numPr>
          <w:ilvl w:val="0"/>
          <w:numId w:val="2"/>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E6420A" w:rsidRDefault="005360AC">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sidR="00AC2550">
        <w:rPr>
          <w:rFonts w:ascii="仿宋" w:eastAsia="仿宋" w:hAnsi="仿宋" w:hint="eastAsia"/>
          <w:sz w:val="32"/>
          <w:szCs w:val="32"/>
        </w:rPr>
        <w:t>21</w:t>
      </w:r>
      <w:r>
        <w:rPr>
          <w:rFonts w:ascii="仿宋" w:eastAsia="仿宋" w:hAnsi="仿宋" w:hint="eastAsia"/>
          <w:sz w:val="32"/>
          <w:szCs w:val="32"/>
        </w:rPr>
        <w:t>年本年收入合计</w:t>
      </w:r>
      <w:r w:rsidR="00AC2550">
        <w:rPr>
          <w:rFonts w:ascii="仿宋" w:eastAsia="仿宋" w:hAnsi="仿宋" w:hint="eastAsia"/>
          <w:sz w:val="32"/>
          <w:szCs w:val="32"/>
        </w:rPr>
        <w:t>10629.03</w:t>
      </w:r>
      <w:r>
        <w:rPr>
          <w:rFonts w:ascii="仿宋" w:eastAsia="仿宋" w:hAnsi="仿宋" w:hint="eastAsia"/>
          <w:sz w:val="32"/>
          <w:szCs w:val="32"/>
        </w:rPr>
        <w:t>万元，其中：一般公共预算财政拨款收入</w:t>
      </w:r>
      <w:r w:rsidR="00AC2550">
        <w:rPr>
          <w:rFonts w:ascii="仿宋" w:eastAsia="仿宋" w:hAnsi="仿宋" w:hint="eastAsia"/>
          <w:sz w:val="32"/>
          <w:szCs w:val="32"/>
        </w:rPr>
        <w:t>10629.03</w:t>
      </w:r>
      <w:r>
        <w:rPr>
          <w:rFonts w:ascii="仿宋" w:eastAsia="仿宋" w:hAnsi="仿宋" w:hint="eastAsia"/>
          <w:sz w:val="32"/>
          <w:szCs w:val="32"/>
        </w:rPr>
        <w:t>万元，占</w:t>
      </w:r>
      <w:r w:rsidR="000940B4">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0940B4" w:rsidRDefault="00726A56" w:rsidP="00726A56">
      <w:pPr>
        <w:pStyle w:val="a0"/>
        <w:spacing w:before="93"/>
        <w:rPr>
          <w:rFonts w:ascii="仿宋" w:eastAsia="仿宋" w:hAnsi="仿宋"/>
          <w:sz w:val="32"/>
          <w:szCs w:val="32"/>
        </w:rPr>
      </w:pPr>
      <w:r w:rsidRPr="00726A56">
        <w:rPr>
          <w:noProof/>
        </w:rPr>
        <w:lastRenderedPageBreak/>
        <w:drawing>
          <wp:inline distT="0" distB="0" distL="0" distR="0">
            <wp:extent cx="4619625" cy="271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420A" w:rsidRDefault="005360AC">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E6420A" w:rsidRDefault="005360AC">
      <w:pPr>
        <w:pStyle w:val="a9"/>
        <w:numPr>
          <w:ilvl w:val="0"/>
          <w:numId w:val="2"/>
        </w:numPr>
        <w:spacing w:line="600" w:lineRule="exact"/>
        <w:ind w:firstLineChars="0"/>
        <w:outlineLvl w:val="1"/>
        <w:rPr>
          <w:rStyle w:val="2Char"/>
          <w:rFonts w:ascii="黑体" w:eastAsia="黑体" w:hAnsi="黑体"/>
          <w:b w:val="0"/>
        </w:rPr>
      </w:pPr>
      <w:bookmarkStart w:id="22" w:name="_Toc15377207"/>
      <w:bookmarkStart w:id="23"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E6420A" w:rsidRDefault="005360AC">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sidR="00AC2550">
        <w:rPr>
          <w:rFonts w:ascii="仿宋" w:eastAsia="仿宋" w:hAnsi="仿宋" w:hint="eastAsia"/>
          <w:sz w:val="32"/>
          <w:szCs w:val="32"/>
        </w:rPr>
        <w:t>21</w:t>
      </w:r>
      <w:r>
        <w:rPr>
          <w:rFonts w:ascii="仿宋" w:eastAsia="仿宋" w:hAnsi="仿宋" w:hint="eastAsia"/>
          <w:sz w:val="32"/>
          <w:szCs w:val="32"/>
        </w:rPr>
        <w:t>年本年支出合计</w:t>
      </w:r>
      <w:r w:rsidR="009B5E78">
        <w:rPr>
          <w:rFonts w:ascii="仿宋" w:eastAsia="仿宋" w:hAnsi="仿宋" w:hint="eastAsia"/>
          <w:sz w:val="32"/>
          <w:szCs w:val="32"/>
        </w:rPr>
        <w:t>10629.03</w:t>
      </w:r>
      <w:r>
        <w:rPr>
          <w:rFonts w:ascii="仿宋" w:eastAsia="仿宋" w:hAnsi="仿宋" w:hint="eastAsia"/>
          <w:sz w:val="32"/>
          <w:szCs w:val="32"/>
        </w:rPr>
        <w:t>万元，其中：基本支出</w:t>
      </w:r>
      <w:r w:rsidR="009B5E78">
        <w:rPr>
          <w:rFonts w:ascii="仿宋" w:eastAsia="仿宋" w:hAnsi="仿宋" w:hint="eastAsia"/>
          <w:sz w:val="32"/>
          <w:szCs w:val="32"/>
        </w:rPr>
        <w:t>3808.31</w:t>
      </w:r>
      <w:r>
        <w:rPr>
          <w:rFonts w:ascii="仿宋" w:eastAsia="仿宋" w:hAnsi="仿宋" w:hint="eastAsia"/>
          <w:sz w:val="32"/>
          <w:szCs w:val="32"/>
        </w:rPr>
        <w:t>万元，占</w:t>
      </w:r>
      <w:r w:rsidR="009B5E78">
        <w:rPr>
          <w:rFonts w:ascii="仿宋" w:eastAsia="仿宋" w:hAnsi="仿宋" w:hint="eastAsia"/>
          <w:sz w:val="32"/>
          <w:szCs w:val="32"/>
        </w:rPr>
        <w:t>35.83</w:t>
      </w:r>
      <w:r>
        <w:rPr>
          <w:rFonts w:ascii="仿宋" w:eastAsia="仿宋" w:hAnsi="仿宋"/>
          <w:sz w:val="32"/>
          <w:szCs w:val="32"/>
        </w:rPr>
        <w:t>%</w:t>
      </w:r>
      <w:r>
        <w:rPr>
          <w:rFonts w:ascii="仿宋" w:eastAsia="仿宋" w:hAnsi="仿宋" w:hint="eastAsia"/>
          <w:sz w:val="32"/>
          <w:szCs w:val="32"/>
        </w:rPr>
        <w:t>；项目支出</w:t>
      </w:r>
      <w:r w:rsidR="009B5E78">
        <w:rPr>
          <w:rFonts w:ascii="仿宋" w:eastAsia="仿宋" w:hAnsi="仿宋" w:hint="eastAsia"/>
          <w:sz w:val="32"/>
          <w:szCs w:val="32"/>
        </w:rPr>
        <w:t>6820.72</w:t>
      </w:r>
      <w:r>
        <w:rPr>
          <w:rFonts w:ascii="仿宋" w:eastAsia="仿宋" w:hAnsi="仿宋" w:hint="eastAsia"/>
          <w:sz w:val="32"/>
          <w:szCs w:val="32"/>
        </w:rPr>
        <w:t>万元，占</w:t>
      </w:r>
      <w:r w:rsidR="009B5E78">
        <w:rPr>
          <w:rFonts w:ascii="仿宋" w:eastAsia="仿宋" w:hAnsi="仿宋" w:hint="eastAsia"/>
          <w:sz w:val="32"/>
          <w:szCs w:val="32"/>
        </w:rPr>
        <w:t>64.17</w:t>
      </w:r>
      <w:r>
        <w:rPr>
          <w:rFonts w:ascii="仿宋" w:eastAsia="仿宋" w:hAnsi="仿宋"/>
          <w:sz w:val="32"/>
          <w:szCs w:val="32"/>
        </w:rPr>
        <w:t>%</w:t>
      </w:r>
      <w:r>
        <w:rPr>
          <w:rFonts w:ascii="仿宋" w:eastAsia="仿宋" w:hAnsi="仿宋" w:hint="eastAsia"/>
          <w:sz w:val="32"/>
          <w:szCs w:val="32"/>
        </w:rPr>
        <w:t>；上缴上级支出</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726A56" w:rsidRPr="000940B4" w:rsidRDefault="00726A56" w:rsidP="000940B4">
      <w:pPr>
        <w:pStyle w:val="a0"/>
        <w:spacing w:before="93"/>
      </w:pPr>
      <w:r w:rsidRPr="00726A56">
        <w:rPr>
          <w:noProof/>
        </w:rPr>
        <w:drawing>
          <wp:inline distT="0" distB="0" distL="0" distR="0">
            <wp:extent cx="4276725" cy="2790825"/>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420A" w:rsidRDefault="005360AC">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E6420A" w:rsidRDefault="005360AC">
      <w:pPr>
        <w:spacing w:line="600" w:lineRule="exact"/>
        <w:ind w:firstLineChars="200" w:firstLine="640"/>
        <w:outlineLvl w:val="1"/>
        <w:rPr>
          <w:rStyle w:val="2Char"/>
          <w:rFonts w:ascii="黑体" w:eastAsia="黑体" w:hAnsi="黑体"/>
          <w:b w:val="0"/>
        </w:rPr>
      </w:pPr>
      <w:bookmarkStart w:id="24" w:name="_Toc15396606"/>
      <w:bookmarkStart w:id="25"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A2139D" w:rsidRPr="00115EAF" w:rsidRDefault="005360AC" w:rsidP="00A2139D">
      <w:pPr>
        <w:spacing w:line="600" w:lineRule="exact"/>
        <w:ind w:firstLineChars="200" w:firstLine="640"/>
        <w:rPr>
          <w:rFonts w:ascii="仿宋" w:eastAsia="仿宋" w:hAnsi="仿宋"/>
          <w:sz w:val="32"/>
          <w:szCs w:val="32"/>
        </w:rPr>
      </w:pPr>
      <w:r>
        <w:rPr>
          <w:rFonts w:ascii="仿宋" w:eastAsia="仿宋" w:hAnsi="仿宋"/>
          <w:sz w:val="32"/>
          <w:szCs w:val="32"/>
        </w:rPr>
        <w:lastRenderedPageBreak/>
        <w:t>20</w:t>
      </w:r>
      <w:r w:rsidR="009B5E78">
        <w:rPr>
          <w:rFonts w:ascii="仿宋" w:eastAsia="仿宋" w:hAnsi="仿宋" w:hint="eastAsia"/>
          <w:sz w:val="32"/>
          <w:szCs w:val="32"/>
        </w:rPr>
        <w:t>21</w:t>
      </w:r>
      <w:r>
        <w:rPr>
          <w:rFonts w:ascii="仿宋" w:eastAsia="仿宋" w:hAnsi="仿宋" w:hint="eastAsia"/>
          <w:sz w:val="32"/>
          <w:szCs w:val="32"/>
        </w:rPr>
        <w:t>年财政拨款收、支总计</w:t>
      </w:r>
      <w:r w:rsidR="009B5E78">
        <w:rPr>
          <w:rFonts w:ascii="仿宋" w:eastAsia="仿宋" w:hAnsi="仿宋" w:hint="eastAsia"/>
          <w:sz w:val="32"/>
          <w:szCs w:val="32"/>
        </w:rPr>
        <w:t>10629.03</w:t>
      </w:r>
      <w:r>
        <w:rPr>
          <w:rFonts w:ascii="仿宋" w:eastAsia="仿宋" w:hAnsi="仿宋" w:hint="eastAsia"/>
          <w:sz w:val="32"/>
          <w:szCs w:val="32"/>
        </w:rPr>
        <w:t>万元。与</w:t>
      </w:r>
      <w:r>
        <w:rPr>
          <w:rFonts w:ascii="仿宋" w:eastAsia="仿宋" w:hAnsi="仿宋"/>
          <w:sz w:val="32"/>
          <w:szCs w:val="32"/>
        </w:rPr>
        <w:t>20</w:t>
      </w:r>
      <w:r w:rsidR="009B5E78">
        <w:rPr>
          <w:rFonts w:ascii="仿宋" w:eastAsia="仿宋" w:hAnsi="仿宋" w:hint="eastAsia"/>
          <w:sz w:val="32"/>
          <w:szCs w:val="32"/>
        </w:rPr>
        <w:t>20</w:t>
      </w:r>
      <w:r>
        <w:rPr>
          <w:rFonts w:ascii="仿宋" w:eastAsia="仿宋" w:hAnsi="仿宋" w:hint="eastAsia"/>
          <w:sz w:val="32"/>
          <w:szCs w:val="32"/>
        </w:rPr>
        <w:t>年相比，财政拨款收、支总计各</w:t>
      </w:r>
      <w:r w:rsidR="009B5E78">
        <w:rPr>
          <w:rFonts w:ascii="仿宋" w:eastAsia="仿宋" w:hAnsi="仿宋" w:hint="eastAsia"/>
          <w:sz w:val="32"/>
          <w:szCs w:val="32"/>
        </w:rPr>
        <w:t>增加4947.51万元，增长87.08%</w:t>
      </w:r>
      <w:r>
        <w:rPr>
          <w:rFonts w:ascii="仿宋" w:eastAsia="仿宋" w:hAnsi="仿宋" w:hint="eastAsia"/>
          <w:sz w:val="32"/>
          <w:szCs w:val="32"/>
        </w:rPr>
        <w:t>。</w:t>
      </w:r>
      <w:r w:rsidR="00A2139D">
        <w:rPr>
          <w:rFonts w:ascii="仿宋" w:eastAsia="仿宋" w:hAnsi="仿宋" w:hint="eastAsia"/>
          <w:sz w:val="32"/>
          <w:szCs w:val="32"/>
        </w:rPr>
        <w:t>主要变动原因是</w:t>
      </w:r>
      <w:r w:rsidR="00A2139D" w:rsidRPr="00115EAF">
        <w:rPr>
          <w:rFonts w:ascii="仿宋" w:eastAsia="仿宋" w:hAnsi="仿宋" w:hint="eastAsia"/>
          <w:sz w:val="32"/>
          <w:szCs w:val="32"/>
        </w:rPr>
        <w:t>2021年新增涉案财物系统升级改造项目和四川省政法大数据平台建设项目导致经费增加。</w:t>
      </w:r>
    </w:p>
    <w:p w:rsidR="00726A56" w:rsidRDefault="00726A56" w:rsidP="002D5A98">
      <w:pPr>
        <w:pStyle w:val="a0"/>
        <w:spacing w:before="93"/>
      </w:pPr>
      <w:r w:rsidRPr="00726A56">
        <w:rPr>
          <w:noProof/>
        </w:rPr>
        <w:drawing>
          <wp:inline distT="0" distB="0" distL="0" distR="0">
            <wp:extent cx="4286250" cy="279082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420A" w:rsidRDefault="005360AC">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E6420A" w:rsidRDefault="005360AC">
      <w:pPr>
        <w:spacing w:line="600" w:lineRule="exact"/>
        <w:ind w:firstLineChars="200" w:firstLine="640"/>
        <w:outlineLvl w:val="1"/>
        <w:rPr>
          <w:rStyle w:val="2Char"/>
          <w:rFonts w:ascii="黑体" w:eastAsia="黑体" w:hAnsi="黑体"/>
          <w:b w:val="0"/>
        </w:rPr>
      </w:pPr>
      <w:bookmarkStart w:id="26" w:name="_Toc15377209"/>
      <w:bookmarkStart w:id="27"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E6420A" w:rsidRPr="00900D8B" w:rsidRDefault="005360AC" w:rsidP="00900D8B">
      <w:pPr>
        <w:spacing w:line="600" w:lineRule="exact"/>
        <w:ind w:firstLineChars="200" w:firstLine="643"/>
        <w:outlineLvl w:val="2"/>
        <w:rPr>
          <w:rFonts w:ascii="仿宋" w:eastAsia="仿宋" w:hAnsi="仿宋"/>
          <w:b/>
          <w:sz w:val="32"/>
          <w:szCs w:val="32"/>
        </w:rPr>
      </w:pPr>
      <w:bookmarkStart w:id="28" w:name="_Toc15377210"/>
      <w:r w:rsidRPr="00900D8B">
        <w:rPr>
          <w:rFonts w:ascii="仿宋" w:eastAsia="仿宋" w:hAnsi="仿宋" w:hint="eastAsia"/>
          <w:b/>
          <w:sz w:val="32"/>
          <w:szCs w:val="32"/>
        </w:rPr>
        <w:t>（一）一般公共预算财政拨款支出决算总体情况</w:t>
      </w:r>
      <w:bookmarkEnd w:id="28"/>
    </w:p>
    <w:p w:rsidR="00A2139D" w:rsidRPr="00115EAF" w:rsidRDefault="005360AC" w:rsidP="00A2139D">
      <w:pPr>
        <w:spacing w:line="600" w:lineRule="exact"/>
        <w:ind w:firstLineChars="200" w:firstLine="640"/>
        <w:rPr>
          <w:rFonts w:ascii="仿宋" w:eastAsia="仿宋" w:hAnsi="仿宋"/>
          <w:sz w:val="32"/>
          <w:szCs w:val="32"/>
        </w:rPr>
      </w:pPr>
      <w:r>
        <w:rPr>
          <w:rFonts w:ascii="仿宋" w:eastAsia="仿宋" w:hAnsi="仿宋"/>
          <w:sz w:val="32"/>
          <w:szCs w:val="32"/>
        </w:rPr>
        <w:t>20</w:t>
      </w:r>
      <w:r w:rsidR="009B5E78">
        <w:rPr>
          <w:rFonts w:ascii="仿宋" w:eastAsia="仿宋" w:hAnsi="仿宋" w:hint="eastAsia"/>
          <w:sz w:val="32"/>
          <w:szCs w:val="32"/>
        </w:rPr>
        <w:t>21</w:t>
      </w:r>
      <w:r>
        <w:rPr>
          <w:rFonts w:ascii="仿宋" w:eastAsia="仿宋" w:hAnsi="仿宋" w:hint="eastAsia"/>
          <w:sz w:val="32"/>
          <w:szCs w:val="32"/>
        </w:rPr>
        <w:t>年一般公共预算财政拨款支出</w:t>
      </w:r>
      <w:r w:rsidR="009B5E78">
        <w:rPr>
          <w:rFonts w:ascii="仿宋" w:eastAsia="仿宋" w:hAnsi="仿宋" w:hint="eastAsia"/>
          <w:sz w:val="32"/>
          <w:szCs w:val="32"/>
        </w:rPr>
        <w:t>10629.03</w:t>
      </w:r>
      <w:r>
        <w:rPr>
          <w:rFonts w:ascii="仿宋" w:eastAsia="仿宋" w:hAnsi="仿宋" w:hint="eastAsia"/>
          <w:sz w:val="32"/>
          <w:szCs w:val="32"/>
        </w:rPr>
        <w:t>万元，占本年支出合计的</w:t>
      </w:r>
      <w:r w:rsidR="005B4216">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sidR="009B5E78">
        <w:rPr>
          <w:rFonts w:ascii="仿宋" w:eastAsia="仿宋" w:hAnsi="仿宋"/>
          <w:sz w:val="32"/>
          <w:szCs w:val="32"/>
        </w:rPr>
        <w:t>20</w:t>
      </w:r>
      <w:r w:rsidR="009B5E78">
        <w:rPr>
          <w:rFonts w:ascii="仿宋" w:eastAsia="仿宋" w:hAnsi="仿宋" w:hint="eastAsia"/>
          <w:sz w:val="32"/>
          <w:szCs w:val="32"/>
        </w:rPr>
        <w:t>20</w:t>
      </w:r>
      <w:r>
        <w:rPr>
          <w:rFonts w:ascii="仿宋" w:eastAsia="仿宋" w:hAnsi="仿宋" w:hint="eastAsia"/>
          <w:sz w:val="32"/>
          <w:szCs w:val="32"/>
        </w:rPr>
        <w:t>年相比，一般公共预算财政拨款</w:t>
      </w:r>
      <w:r w:rsidR="009B5E78">
        <w:rPr>
          <w:rFonts w:ascii="仿宋" w:eastAsia="仿宋" w:hAnsi="仿宋" w:hint="eastAsia"/>
          <w:sz w:val="32"/>
          <w:szCs w:val="32"/>
        </w:rPr>
        <w:t>增加4947.51万元，增长87.08%</w:t>
      </w:r>
      <w:r w:rsidR="005B4216">
        <w:rPr>
          <w:rFonts w:ascii="仿宋" w:eastAsia="仿宋" w:hAnsi="仿宋" w:hint="eastAsia"/>
          <w:sz w:val="32"/>
          <w:szCs w:val="32"/>
        </w:rPr>
        <w:t>。</w:t>
      </w:r>
      <w:r w:rsidR="00A2139D">
        <w:rPr>
          <w:rFonts w:ascii="仿宋" w:eastAsia="仿宋" w:hAnsi="仿宋" w:hint="eastAsia"/>
          <w:sz w:val="32"/>
          <w:szCs w:val="32"/>
        </w:rPr>
        <w:t>主要变动原因是</w:t>
      </w:r>
      <w:r w:rsidR="00A2139D" w:rsidRPr="00115EAF">
        <w:rPr>
          <w:rFonts w:ascii="仿宋" w:eastAsia="仿宋" w:hAnsi="仿宋" w:hint="eastAsia"/>
          <w:sz w:val="32"/>
          <w:szCs w:val="32"/>
        </w:rPr>
        <w:t>2021年新增涉案财物系统升级改造项目和四川省政法大数据平台建设项目导致经费增加。</w:t>
      </w:r>
    </w:p>
    <w:p w:rsidR="00726A56" w:rsidRPr="00726A56" w:rsidRDefault="00726A56" w:rsidP="00726A56">
      <w:pPr>
        <w:pStyle w:val="a0"/>
        <w:spacing w:before="93"/>
      </w:pPr>
      <w:r w:rsidRPr="00726A56">
        <w:rPr>
          <w:noProof/>
        </w:rPr>
        <w:lastRenderedPageBreak/>
        <w:drawing>
          <wp:inline distT="0" distB="0" distL="0" distR="0">
            <wp:extent cx="3546475" cy="229806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420A" w:rsidRDefault="005360AC">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E6420A" w:rsidRDefault="005360AC">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E6420A" w:rsidRDefault="005360AC">
      <w:pPr>
        <w:spacing w:line="600" w:lineRule="exact"/>
        <w:ind w:firstLine="640"/>
        <w:rPr>
          <w:rFonts w:ascii="仿宋" w:eastAsia="仿宋" w:hAnsi="仿宋"/>
          <w:sz w:val="32"/>
          <w:szCs w:val="32"/>
        </w:rPr>
      </w:pPr>
      <w:r>
        <w:rPr>
          <w:rFonts w:ascii="仿宋" w:eastAsia="仿宋" w:hAnsi="仿宋"/>
          <w:sz w:val="32"/>
          <w:szCs w:val="32"/>
        </w:rPr>
        <w:t>20</w:t>
      </w:r>
      <w:r w:rsidR="009B5E78">
        <w:rPr>
          <w:rFonts w:ascii="仿宋" w:eastAsia="仿宋" w:hAnsi="仿宋" w:hint="eastAsia"/>
          <w:sz w:val="32"/>
          <w:szCs w:val="32"/>
        </w:rPr>
        <w:t>21</w:t>
      </w:r>
      <w:r>
        <w:rPr>
          <w:rFonts w:ascii="仿宋" w:eastAsia="仿宋" w:hAnsi="仿宋" w:hint="eastAsia"/>
          <w:sz w:val="32"/>
          <w:szCs w:val="32"/>
        </w:rPr>
        <w:t>年一般公共预算财政拨款支出</w:t>
      </w:r>
      <w:r w:rsidR="009B5E78">
        <w:rPr>
          <w:rFonts w:ascii="仿宋" w:eastAsia="仿宋" w:hAnsi="仿宋" w:hint="eastAsia"/>
          <w:sz w:val="32"/>
          <w:szCs w:val="32"/>
        </w:rPr>
        <w:t>10629.03</w:t>
      </w:r>
      <w:r>
        <w:rPr>
          <w:rFonts w:ascii="仿宋" w:eastAsia="仿宋" w:hAnsi="仿宋" w:hint="eastAsia"/>
          <w:sz w:val="32"/>
          <w:szCs w:val="32"/>
        </w:rPr>
        <w:t>万元，主要用于以下方面</w:t>
      </w:r>
      <w:r>
        <w:rPr>
          <w:rFonts w:ascii="仿宋" w:eastAsia="仿宋" w:hAnsi="仿宋"/>
          <w:sz w:val="32"/>
          <w:szCs w:val="32"/>
        </w:rPr>
        <w:t>:</w:t>
      </w:r>
      <w:r w:rsidR="004B7678" w:rsidRPr="004B7678">
        <w:rPr>
          <w:rFonts w:ascii="仿宋" w:eastAsia="仿宋" w:hAnsi="仿宋" w:hint="eastAsia"/>
          <w:b/>
          <w:sz w:val="32"/>
          <w:szCs w:val="32"/>
        </w:rPr>
        <w:t>一般公共服务支出（类）</w:t>
      </w:r>
      <w:r w:rsidR="004B7678">
        <w:rPr>
          <w:rFonts w:ascii="仿宋" w:eastAsia="仿宋" w:hAnsi="仿宋" w:hint="eastAsia"/>
          <w:sz w:val="32"/>
          <w:szCs w:val="32"/>
        </w:rPr>
        <w:t>支出</w:t>
      </w:r>
      <w:r w:rsidR="009B5E78">
        <w:rPr>
          <w:rFonts w:ascii="仿宋" w:eastAsia="仿宋" w:hAnsi="仿宋" w:hint="eastAsia"/>
          <w:sz w:val="32"/>
          <w:szCs w:val="32"/>
        </w:rPr>
        <w:t>4.46</w:t>
      </w:r>
      <w:r w:rsidR="004B7678">
        <w:rPr>
          <w:rFonts w:ascii="仿宋" w:eastAsia="仿宋" w:hAnsi="仿宋" w:hint="eastAsia"/>
          <w:sz w:val="32"/>
          <w:szCs w:val="32"/>
        </w:rPr>
        <w:t>万元，占</w:t>
      </w:r>
      <w:r w:rsidR="005656CD">
        <w:rPr>
          <w:rFonts w:ascii="仿宋" w:eastAsia="仿宋" w:hAnsi="仿宋" w:hint="eastAsia"/>
          <w:sz w:val="32"/>
          <w:szCs w:val="32"/>
        </w:rPr>
        <w:t>0.04</w:t>
      </w:r>
      <w:r w:rsidR="004B7678">
        <w:rPr>
          <w:rFonts w:ascii="仿宋" w:eastAsia="仿宋" w:hAnsi="仿宋" w:hint="eastAsia"/>
          <w:sz w:val="32"/>
          <w:szCs w:val="32"/>
        </w:rPr>
        <w:t>%，</w:t>
      </w:r>
      <w:r w:rsidR="002D5A98">
        <w:rPr>
          <w:rFonts w:ascii="仿宋" w:eastAsia="仿宋" w:hAnsi="仿宋" w:hint="eastAsia"/>
          <w:b/>
          <w:sz w:val="32"/>
          <w:szCs w:val="32"/>
        </w:rPr>
        <w:t>公共安全支出</w:t>
      </w:r>
      <w:r>
        <w:rPr>
          <w:rFonts w:ascii="仿宋" w:eastAsia="仿宋" w:hAnsi="仿宋" w:hint="eastAsia"/>
          <w:b/>
          <w:sz w:val="32"/>
          <w:szCs w:val="32"/>
        </w:rPr>
        <w:t>（类）</w:t>
      </w:r>
      <w:r>
        <w:rPr>
          <w:rFonts w:ascii="仿宋" w:eastAsia="仿宋" w:hAnsi="仿宋" w:hint="eastAsia"/>
          <w:sz w:val="32"/>
          <w:szCs w:val="32"/>
        </w:rPr>
        <w:t>支出</w:t>
      </w:r>
      <w:r w:rsidR="009B5E78">
        <w:rPr>
          <w:rFonts w:ascii="仿宋" w:eastAsia="仿宋" w:hAnsi="仿宋" w:hint="eastAsia"/>
          <w:sz w:val="32"/>
          <w:szCs w:val="32"/>
        </w:rPr>
        <w:t>9430.88</w:t>
      </w:r>
      <w:r>
        <w:rPr>
          <w:rFonts w:ascii="仿宋" w:eastAsia="仿宋" w:hAnsi="仿宋" w:hint="eastAsia"/>
          <w:sz w:val="32"/>
          <w:szCs w:val="32"/>
        </w:rPr>
        <w:t>万元，占</w:t>
      </w:r>
      <w:r w:rsidR="005656CD">
        <w:rPr>
          <w:rFonts w:ascii="仿宋" w:eastAsia="仿宋" w:hAnsi="仿宋" w:hint="eastAsia"/>
          <w:sz w:val="32"/>
          <w:szCs w:val="32"/>
        </w:rPr>
        <w:t>88.73</w:t>
      </w:r>
      <w:r>
        <w:rPr>
          <w:rFonts w:ascii="仿宋" w:eastAsia="仿宋" w:hAnsi="仿宋"/>
          <w:sz w:val="32"/>
          <w:szCs w:val="32"/>
        </w:rPr>
        <w:t>%</w:t>
      </w:r>
      <w:r>
        <w:rPr>
          <w:rFonts w:ascii="仿宋" w:eastAsia="仿宋" w:hAnsi="仿宋" w:hint="eastAsia"/>
          <w:sz w:val="32"/>
          <w:szCs w:val="32"/>
        </w:rPr>
        <w:t>；</w:t>
      </w:r>
      <w:r w:rsidR="002D5A98">
        <w:rPr>
          <w:rFonts w:ascii="仿宋" w:eastAsia="仿宋" w:hAnsi="仿宋" w:hint="eastAsia"/>
          <w:b/>
          <w:sz w:val="32"/>
          <w:szCs w:val="32"/>
        </w:rPr>
        <w:t>社会保障和就业支出</w:t>
      </w:r>
      <w:r>
        <w:rPr>
          <w:rFonts w:ascii="仿宋" w:eastAsia="仿宋" w:hAnsi="仿宋" w:hint="eastAsia"/>
          <w:b/>
          <w:sz w:val="32"/>
          <w:szCs w:val="32"/>
        </w:rPr>
        <w:t>（类）</w:t>
      </w:r>
      <w:r w:rsidR="009B5E78">
        <w:rPr>
          <w:rFonts w:ascii="仿宋" w:eastAsia="仿宋" w:hAnsi="仿宋" w:hint="eastAsia"/>
          <w:sz w:val="32"/>
          <w:szCs w:val="32"/>
        </w:rPr>
        <w:t>395.54</w:t>
      </w:r>
      <w:r>
        <w:rPr>
          <w:rFonts w:ascii="仿宋" w:eastAsia="仿宋" w:hAnsi="仿宋" w:hint="eastAsia"/>
          <w:sz w:val="32"/>
          <w:szCs w:val="32"/>
        </w:rPr>
        <w:t>万元，占</w:t>
      </w:r>
      <w:r w:rsidR="005656CD">
        <w:rPr>
          <w:rFonts w:ascii="仿宋" w:eastAsia="仿宋" w:hAnsi="仿宋" w:hint="eastAsia"/>
          <w:sz w:val="32"/>
          <w:szCs w:val="32"/>
        </w:rPr>
        <w:t>3.72</w:t>
      </w:r>
      <w:r>
        <w:rPr>
          <w:rFonts w:ascii="仿宋" w:eastAsia="仿宋" w:hAnsi="仿宋"/>
          <w:sz w:val="32"/>
          <w:szCs w:val="32"/>
        </w:rPr>
        <w:t>%</w:t>
      </w:r>
      <w:r>
        <w:rPr>
          <w:rFonts w:ascii="仿宋" w:eastAsia="仿宋" w:hAnsi="仿宋" w:hint="eastAsia"/>
          <w:sz w:val="32"/>
          <w:szCs w:val="32"/>
        </w:rPr>
        <w:t>；</w:t>
      </w:r>
      <w:r w:rsidR="002D5A98">
        <w:rPr>
          <w:rFonts w:ascii="仿宋" w:eastAsia="仿宋" w:hAnsi="仿宋" w:hint="eastAsia"/>
          <w:b/>
          <w:sz w:val="32"/>
          <w:szCs w:val="32"/>
        </w:rPr>
        <w:t>卫生健康支出</w:t>
      </w:r>
      <w:r>
        <w:rPr>
          <w:rFonts w:ascii="仿宋" w:eastAsia="仿宋" w:hAnsi="仿宋" w:hint="eastAsia"/>
          <w:b/>
          <w:sz w:val="32"/>
          <w:szCs w:val="32"/>
        </w:rPr>
        <w:t>（类）</w:t>
      </w:r>
      <w:r>
        <w:rPr>
          <w:rFonts w:ascii="仿宋" w:eastAsia="仿宋" w:hAnsi="仿宋" w:hint="eastAsia"/>
          <w:sz w:val="32"/>
          <w:szCs w:val="32"/>
        </w:rPr>
        <w:t>支出</w:t>
      </w:r>
      <w:r w:rsidR="009B5E78">
        <w:rPr>
          <w:rFonts w:ascii="仿宋" w:eastAsia="仿宋" w:hAnsi="仿宋" w:hint="eastAsia"/>
          <w:sz w:val="32"/>
          <w:szCs w:val="32"/>
        </w:rPr>
        <w:t>188.49</w:t>
      </w:r>
      <w:r>
        <w:rPr>
          <w:rFonts w:ascii="仿宋" w:eastAsia="仿宋" w:hAnsi="仿宋" w:hint="eastAsia"/>
          <w:sz w:val="32"/>
          <w:szCs w:val="32"/>
        </w:rPr>
        <w:t>万元，占</w:t>
      </w:r>
      <w:r w:rsidR="005656CD">
        <w:rPr>
          <w:rFonts w:ascii="仿宋" w:eastAsia="仿宋" w:hAnsi="仿宋" w:hint="eastAsia"/>
          <w:sz w:val="32"/>
          <w:szCs w:val="32"/>
        </w:rPr>
        <w:t>1.77</w:t>
      </w:r>
      <w:r>
        <w:rPr>
          <w:rFonts w:ascii="仿宋" w:eastAsia="仿宋" w:hAnsi="仿宋"/>
          <w:sz w:val="32"/>
          <w:szCs w:val="32"/>
        </w:rPr>
        <w:t>%</w:t>
      </w:r>
      <w:r>
        <w:rPr>
          <w:rFonts w:ascii="仿宋" w:eastAsia="仿宋" w:hAnsi="仿宋" w:hint="eastAsia"/>
          <w:sz w:val="32"/>
          <w:szCs w:val="32"/>
        </w:rPr>
        <w:t>；</w:t>
      </w:r>
      <w:r w:rsidR="002D5A98">
        <w:rPr>
          <w:rFonts w:ascii="仿宋" w:eastAsia="仿宋" w:hAnsi="仿宋" w:hint="eastAsia"/>
          <w:b/>
          <w:bCs/>
          <w:sz w:val="32"/>
          <w:szCs w:val="32"/>
        </w:rPr>
        <w:t>住房保障支出</w:t>
      </w:r>
      <w:r>
        <w:rPr>
          <w:rFonts w:ascii="仿宋" w:eastAsia="仿宋" w:hAnsi="仿宋" w:hint="eastAsia"/>
          <w:b/>
          <w:bCs/>
          <w:sz w:val="32"/>
          <w:szCs w:val="32"/>
        </w:rPr>
        <w:t>（类）支出</w:t>
      </w:r>
      <w:r w:rsidR="009B5E78">
        <w:rPr>
          <w:rFonts w:ascii="仿宋" w:eastAsia="仿宋" w:hAnsi="仿宋" w:hint="eastAsia"/>
          <w:sz w:val="32"/>
          <w:szCs w:val="32"/>
        </w:rPr>
        <w:t>399.65</w:t>
      </w:r>
      <w:r>
        <w:rPr>
          <w:rFonts w:ascii="仿宋" w:eastAsia="仿宋" w:hAnsi="仿宋" w:hint="eastAsia"/>
          <w:b/>
          <w:bCs/>
          <w:sz w:val="32"/>
          <w:szCs w:val="32"/>
        </w:rPr>
        <w:t>万元，</w:t>
      </w:r>
      <w:r w:rsidRPr="002D5A98">
        <w:rPr>
          <w:rFonts w:ascii="仿宋" w:eastAsia="仿宋" w:hAnsi="仿宋" w:hint="eastAsia"/>
          <w:sz w:val="32"/>
          <w:szCs w:val="32"/>
        </w:rPr>
        <w:t>占</w:t>
      </w:r>
      <w:r w:rsidR="005656CD">
        <w:rPr>
          <w:rFonts w:ascii="仿宋" w:eastAsia="仿宋" w:hAnsi="仿宋" w:hint="eastAsia"/>
          <w:sz w:val="32"/>
          <w:szCs w:val="32"/>
        </w:rPr>
        <w:t>3.76</w:t>
      </w:r>
      <w:r w:rsidRPr="002D5A98">
        <w:rPr>
          <w:rFonts w:ascii="仿宋" w:eastAsia="仿宋" w:hAnsi="仿宋"/>
          <w:sz w:val="32"/>
          <w:szCs w:val="32"/>
        </w:rPr>
        <w:t>%</w:t>
      </w:r>
      <w:r w:rsidR="004B7678">
        <w:rPr>
          <w:rFonts w:ascii="仿宋" w:eastAsia="仿宋" w:hAnsi="仿宋" w:hint="eastAsia"/>
          <w:sz w:val="32"/>
          <w:szCs w:val="32"/>
        </w:rPr>
        <w:t>，</w:t>
      </w:r>
      <w:r w:rsidR="004B7678" w:rsidRPr="0079287B">
        <w:rPr>
          <w:rFonts w:ascii="仿宋" w:eastAsia="仿宋" w:hAnsi="仿宋" w:hint="eastAsia"/>
          <w:b/>
          <w:bCs/>
          <w:sz w:val="32"/>
          <w:szCs w:val="32"/>
        </w:rPr>
        <w:t>其他支出（类）支出</w:t>
      </w:r>
      <w:r w:rsidR="009B5E78">
        <w:rPr>
          <w:rFonts w:ascii="仿宋" w:eastAsia="仿宋" w:hAnsi="仿宋" w:hint="eastAsia"/>
          <w:sz w:val="32"/>
          <w:szCs w:val="32"/>
        </w:rPr>
        <w:t>210</w:t>
      </w:r>
      <w:r w:rsidR="004B7678">
        <w:rPr>
          <w:rFonts w:ascii="仿宋" w:eastAsia="仿宋" w:hAnsi="仿宋" w:hint="eastAsia"/>
          <w:sz w:val="32"/>
          <w:szCs w:val="32"/>
        </w:rPr>
        <w:t>万元，占</w:t>
      </w:r>
      <w:r w:rsidR="005656CD">
        <w:rPr>
          <w:rFonts w:ascii="仿宋" w:eastAsia="仿宋" w:hAnsi="仿宋" w:hint="eastAsia"/>
          <w:sz w:val="32"/>
          <w:szCs w:val="32"/>
        </w:rPr>
        <w:t>1.98</w:t>
      </w:r>
      <w:r w:rsidR="004B7678">
        <w:rPr>
          <w:rFonts w:ascii="仿宋" w:eastAsia="仿宋" w:hAnsi="仿宋" w:hint="eastAsia"/>
          <w:sz w:val="32"/>
          <w:szCs w:val="32"/>
        </w:rPr>
        <w:t>%</w:t>
      </w:r>
      <w:r>
        <w:rPr>
          <w:rFonts w:ascii="仿宋" w:eastAsia="仿宋" w:hAnsi="仿宋" w:hint="eastAsia"/>
          <w:sz w:val="32"/>
          <w:szCs w:val="32"/>
        </w:rPr>
        <w:t>。</w:t>
      </w:r>
    </w:p>
    <w:p w:rsidR="004108F2" w:rsidRDefault="004108F2" w:rsidP="004108F2">
      <w:pPr>
        <w:pStyle w:val="a0"/>
        <w:spacing w:before="93"/>
      </w:pPr>
    </w:p>
    <w:p w:rsidR="004108F2" w:rsidRDefault="004108F2" w:rsidP="004108F2">
      <w:pPr>
        <w:pStyle w:val="a0"/>
        <w:spacing w:before="93"/>
      </w:pPr>
    </w:p>
    <w:p w:rsidR="004108F2" w:rsidRDefault="004108F2" w:rsidP="004108F2">
      <w:pPr>
        <w:pStyle w:val="a0"/>
        <w:spacing w:before="93"/>
      </w:pPr>
    </w:p>
    <w:p w:rsidR="004108F2" w:rsidRDefault="004108F2" w:rsidP="004108F2">
      <w:pPr>
        <w:pStyle w:val="a0"/>
        <w:spacing w:before="93"/>
      </w:pPr>
    </w:p>
    <w:p w:rsidR="004108F2" w:rsidRDefault="004108F2" w:rsidP="004108F2">
      <w:pPr>
        <w:pStyle w:val="a0"/>
        <w:spacing w:before="93"/>
      </w:pPr>
    </w:p>
    <w:p w:rsidR="004108F2" w:rsidRPr="004108F2" w:rsidRDefault="004108F2" w:rsidP="004108F2">
      <w:pPr>
        <w:pStyle w:val="a0"/>
        <w:spacing w:before="93"/>
      </w:pPr>
    </w:p>
    <w:p w:rsidR="00726A56" w:rsidRDefault="00726A56" w:rsidP="002D5A98">
      <w:pPr>
        <w:pStyle w:val="a0"/>
        <w:spacing w:before="93"/>
      </w:pPr>
      <w:r w:rsidRPr="00726A56">
        <w:rPr>
          <w:noProof/>
        </w:rPr>
        <w:lastRenderedPageBreak/>
        <w:drawing>
          <wp:inline distT="0" distB="0" distL="0" distR="0">
            <wp:extent cx="4400550" cy="299085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420A" w:rsidRDefault="005360AC">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E6420A" w:rsidRDefault="005360AC">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E6420A" w:rsidRPr="00E7310E" w:rsidRDefault="005656CD" w:rsidP="00E7310E">
      <w:pPr>
        <w:spacing w:line="600" w:lineRule="exact"/>
        <w:ind w:firstLineChars="200" w:firstLine="643"/>
        <w:outlineLvl w:val="2"/>
        <w:rPr>
          <w:rFonts w:ascii="仿宋_GB2312" w:eastAsia="仿宋_GB2312" w:hAnsi="仿宋"/>
          <w:b/>
          <w:sz w:val="32"/>
          <w:szCs w:val="32"/>
        </w:rPr>
      </w:pPr>
      <w:bookmarkStart w:id="31" w:name="_Toc15377213"/>
      <w:bookmarkStart w:id="32" w:name="_Toc15378460"/>
      <w:bookmarkStart w:id="33" w:name="_Toc15377444"/>
      <w:r w:rsidRPr="00E7310E">
        <w:rPr>
          <w:rFonts w:ascii="仿宋_GB2312" w:eastAsia="仿宋_GB2312" w:hAnsi="仿宋" w:hint="eastAsia"/>
          <w:b/>
          <w:sz w:val="32"/>
          <w:szCs w:val="32"/>
        </w:rPr>
        <w:t>2021</w:t>
      </w:r>
      <w:r w:rsidR="005360AC" w:rsidRPr="00E7310E">
        <w:rPr>
          <w:rFonts w:ascii="仿宋_GB2312" w:eastAsia="仿宋_GB2312" w:hAnsi="仿宋" w:hint="eastAsia"/>
          <w:b/>
          <w:sz w:val="32"/>
          <w:szCs w:val="32"/>
        </w:rPr>
        <w:t>年一般公共预算支出决算数为</w:t>
      </w:r>
      <w:r w:rsidRPr="00E7310E">
        <w:rPr>
          <w:rFonts w:ascii="仿宋_GB2312" w:eastAsia="仿宋_GB2312" w:hAnsi="仿宋" w:hint="eastAsia"/>
          <w:b/>
          <w:sz w:val="32"/>
          <w:szCs w:val="32"/>
        </w:rPr>
        <w:t>10629.03</w:t>
      </w:r>
      <w:r w:rsidR="005360AC" w:rsidRPr="00E7310E">
        <w:rPr>
          <w:rFonts w:ascii="仿宋_GB2312" w:eastAsia="仿宋_GB2312" w:hAnsi="仿宋" w:hint="eastAsia"/>
          <w:b/>
          <w:sz w:val="32"/>
          <w:szCs w:val="32"/>
        </w:rPr>
        <w:t>，</w:t>
      </w:r>
      <w:r w:rsidR="005360AC" w:rsidRPr="00E7310E">
        <w:rPr>
          <w:rStyle w:val="a7"/>
          <w:rFonts w:ascii="仿宋_GB2312" w:eastAsia="仿宋_GB2312" w:hAnsi="仿宋" w:hint="eastAsia"/>
          <w:b w:val="0"/>
          <w:bCs/>
          <w:sz w:val="32"/>
          <w:szCs w:val="32"/>
        </w:rPr>
        <w:t>完成预算</w:t>
      </w:r>
      <w:r w:rsidR="00A2139D" w:rsidRPr="00E7310E">
        <w:rPr>
          <w:rStyle w:val="a7"/>
          <w:rFonts w:ascii="仿宋_GB2312" w:eastAsia="仿宋_GB2312" w:hAnsi="仿宋" w:hint="eastAsia"/>
          <w:b w:val="0"/>
          <w:bCs/>
          <w:sz w:val="32"/>
          <w:szCs w:val="32"/>
        </w:rPr>
        <w:t>83.34</w:t>
      </w:r>
      <w:r w:rsidR="005360AC" w:rsidRPr="00E7310E">
        <w:rPr>
          <w:rStyle w:val="a7"/>
          <w:rFonts w:ascii="仿宋_GB2312" w:eastAsia="仿宋_GB2312" w:hAnsi="仿宋" w:hint="eastAsia"/>
          <w:b w:val="0"/>
          <w:bCs/>
          <w:sz w:val="32"/>
          <w:szCs w:val="32"/>
        </w:rPr>
        <w:t>%。其中：</w:t>
      </w:r>
      <w:bookmarkEnd w:id="31"/>
      <w:bookmarkEnd w:id="32"/>
      <w:bookmarkEnd w:id="33"/>
    </w:p>
    <w:p w:rsidR="00A2139D" w:rsidRDefault="006578E0" w:rsidP="00A2139D">
      <w:pPr>
        <w:spacing w:line="600" w:lineRule="exact"/>
        <w:ind w:firstLineChars="200" w:firstLine="643"/>
        <w:rPr>
          <w:rFonts w:ascii="仿宋" w:eastAsia="仿宋" w:hAnsi="仿宋"/>
          <w:b/>
          <w:sz w:val="32"/>
          <w:szCs w:val="32"/>
        </w:rPr>
      </w:pPr>
      <w:r w:rsidRPr="007377A1">
        <w:rPr>
          <w:rStyle w:val="a7"/>
          <w:rFonts w:ascii="仿宋_GB2312" w:eastAsia="仿宋_GB2312" w:hAnsi="仿宋" w:hint="eastAsia"/>
          <w:bCs/>
          <w:sz w:val="32"/>
          <w:szCs w:val="32"/>
        </w:rPr>
        <w:t>1.一般公共服务（类）其他一般公共服务支出（款）其他一般公共服务支出（项）:</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w:t>
      </w:r>
      <w:r w:rsidR="005656CD">
        <w:rPr>
          <w:rStyle w:val="a7"/>
          <w:rFonts w:ascii="仿宋" w:eastAsia="仿宋" w:hAnsi="仿宋" w:hint="eastAsia"/>
          <w:b w:val="0"/>
          <w:bCs/>
          <w:sz w:val="32"/>
          <w:szCs w:val="32"/>
        </w:rPr>
        <w:t>4.46</w:t>
      </w:r>
      <w:r>
        <w:rPr>
          <w:rStyle w:val="a7"/>
          <w:rFonts w:ascii="仿宋" w:eastAsia="仿宋" w:hAnsi="仿宋" w:hint="eastAsia"/>
          <w:b w:val="0"/>
          <w:bCs/>
          <w:sz w:val="32"/>
          <w:szCs w:val="32"/>
        </w:rPr>
        <w:t>万元，</w:t>
      </w:r>
      <w:r w:rsidRPr="00A2139D">
        <w:rPr>
          <w:rStyle w:val="a7"/>
          <w:rFonts w:ascii="仿宋" w:eastAsia="仿宋" w:hAnsi="仿宋" w:hint="eastAsia"/>
          <w:b w:val="0"/>
          <w:bCs/>
          <w:sz w:val="32"/>
          <w:szCs w:val="32"/>
        </w:rPr>
        <w:t>完成预算</w:t>
      </w:r>
      <w:r w:rsidR="00A2139D" w:rsidRPr="00A2139D">
        <w:rPr>
          <w:rStyle w:val="a7"/>
          <w:rFonts w:ascii="仿宋" w:eastAsia="仿宋" w:hAnsi="仿宋" w:hint="eastAsia"/>
          <w:b w:val="0"/>
          <w:bCs/>
          <w:sz w:val="32"/>
          <w:szCs w:val="32"/>
        </w:rPr>
        <w:t>99.08</w:t>
      </w:r>
      <w:r w:rsidRPr="00A2139D">
        <w:rPr>
          <w:rStyle w:val="a7"/>
          <w:rFonts w:ascii="仿宋" w:eastAsia="仿宋" w:hAnsi="仿宋"/>
          <w:b w:val="0"/>
          <w:bCs/>
          <w:sz w:val="32"/>
          <w:szCs w:val="32"/>
        </w:rPr>
        <w:t>%</w:t>
      </w:r>
      <w:r w:rsidR="00306758" w:rsidRPr="00A2139D">
        <w:rPr>
          <w:rStyle w:val="a7"/>
          <w:rFonts w:ascii="仿宋" w:eastAsia="仿宋" w:hAnsi="仿宋" w:hint="eastAsia"/>
          <w:b w:val="0"/>
          <w:bCs/>
          <w:sz w:val="32"/>
          <w:szCs w:val="32"/>
        </w:rPr>
        <w:t>，</w:t>
      </w:r>
      <w:r w:rsidR="00A2139D">
        <w:rPr>
          <w:rStyle w:val="a7"/>
          <w:rFonts w:ascii="仿宋" w:eastAsia="仿宋" w:hAnsi="仿宋" w:hint="eastAsia"/>
          <w:b w:val="0"/>
          <w:bCs/>
          <w:sz w:val="32"/>
          <w:szCs w:val="32"/>
        </w:rPr>
        <w:t>决算数小于预算数的主要原因是</w:t>
      </w:r>
      <w:r w:rsidR="0064632F" w:rsidRPr="0064632F">
        <w:rPr>
          <w:rStyle w:val="a7"/>
          <w:rFonts w:ascii="仿宋" w:eastAsia="仿宋" w:hAnsi="仿宋" w:hint="eastAsia"/>
          <w:b w:val="0"/>
          <w:bCs/>
          <w:sz w:val="32"/>
          <w:szCs w:val="32"/>
        </w:rPr>
        <w:t>受疫情影响，工作计划有所调整，剩余经费财政收回</w:t>
      </w:r>
      <w:r w:rsidR="00A2139D" w:rsidRPr="00751784">
        <w:rPr>
          <w:rStyle w:val="a7"/>
          <w:rFonts w:ascii="仿宋" w:eastAsia="仿宋" w:hAnsi="仿宋" w:hint="eastAsia"/>
          <w:b w:val="0"/>
          <w:bCs/>
          <w:sz w:val="32"/>
          <w:szCs w:val="32"/>
        </w:rPr>
        <w:t>。</w:t>
      </w:r>
    </w:p>
    <w:p w:rsidR="006578E0" w:rsidRPr="007377A1" w:rsidRDefault="006578E0" w:rsidP="006578E0">
      <w:pPr>
        <w:adjustRightInd w:val="0"/>
        <w:snapToGrid w:val="0"/>
        <w:spacing w:line="600" w:lineRule="exact"/>
        <w:ind w:left="643"/>
        <w:rPr>
          <w:rStyle w:val="a7"/>
          <w:rFonts w:ascii="仿宋_GB2312" w:eastAsia="仿宋_GB2312" w:hAnsi="仿宋"/>
          <w:bCs/>
          <w:sz w:val="32"/>
          <w:szCs w:val="32"/>
        </w:rPr>
      </w:pPr>
      <w:r w:rsidRPr="007377A1">
        <w:rPr>
          <w:rStyle w:val="a7"/>
          <w:rFonts w:ascii="仿宋_GB2312" w:eastAsia="仿宋_GB2312" w:hAnsi="仿宋" w:hint="eastAsia"/>
          <w:bCs/>
          <w:sz w:val="32"/>
          <w:szCs w:val="32"/>
        </w:rPr>
        <w:t>2.</w:t>
      </w:r>
      <w:r w:rsidRPr="007377A1">
        <w:rPr>
          <w:rStyle w:val="a7"/>
          <w:rFonts w:ascii="仿宋_GB2312" w:eastAsia="仿宋_GB2312" w:hAnsi="仿宋" w:hint="eastAsia"/>
          <w:bCs/>
        </w:rPr>
        <w:t xml:space="preserve"> </w:t>
      </w:r>
      <w:r w:rsidRPr="007377A1">
        <w:rPr>
          <w:rStyle w:val="a7"/>
          <w:rFonts w:ascii="仿宋_GB2312" w:eastAsia="仿宋_GB2312" w:hAnsi="仿宋" w:hint="eastAsia"/>
          <w:bCs/>
          <w:sz w:val="32"/>
          <w:szCs w:val="32"/>
        </w:rPr>
        <w:t xml:space="preserve">公共安全支出（类）公安（款）行政运行（项）: </w:t>
      </w:r>
    </w:p>
    <w:p w:rsidR="00A2139D" w:rsidRPr="00751784" w:rsidRDefault="006578E0" w:rsidP="00A2139D">
      <w:pPr>
        <w:adjustRightInd w:val="0"/>
        <w:snapToGrid w:val="0"/>
        <w:spacing w:line="600" w:lineRule="exact"/>
        <w:rPr>
          <w:rStyle w:val="a7"/>
          <w:rFonts w:ascii="仿宋" w:eastAsia="仿宋" w:hAnsi="仿宋"/>
          <w:b w:val="0"/>
          <w:bCs/>
          <w:sz w:val="32"/>
          <w:szCs w:val="32"/>
        </w:rPr>
      </w:pPr>
      <w:r>
        <w:rPr>
          <w:rStyle w:val="a7"/>
          <w:rFonts w:ascii="仿宋" w:eastAsia="仿宋" w:hAnsi="仿宋" w:hint="eastAsia"/>
          <w:b w:val="0"/>
          <w:bCs/>
          <w:sz w:val="32"/>
          <w:szCs w:val="32"/>
        </w:rPr>
        <w:t>支出决算为</w:t>
      </w:r>
      <w:r w:rsidR="005656CD">
        <w:rPr>
          <w:rStyle w:val="a7"/>
          <w:rFonts w:ascii="仿宋" w:eastAsia="仿宋" w:hAnsi="仿宋" w:hint="eastAsia"/>
          <w:b w:val="0"/>
          <w:bCs/>
          <w:sz w:val="32"/>
          <w:szCs w:val="32"/>
        </w:rPr>
        <w:t>2824.62</w:t>
      </w:r>
      <w:r>
        <w:rPr>
          <w:rStyle w:val="a7"/>
          <w:rFonts w:ascii="仿宋" w:eastAsia="仿宋" w:hAnsi="仿宋" w:hint="eastAsia"/>
          <w:b w:val="0"/>
          <w:bCs/>
          <w:sz w:val="32"/>
          <w:szCs w:val="32"/>
        </w:rPr>
        <w:t>万元，</w:t>
      </w:r>
      <w:r w:rsidRPr="00A2139D">
        <w:rPr>
          <w:rStyle w:val="a7"/>
          <w:rFonts w:ascii="仿宋" w:eastAsia="仿宋" w:hAnsi="仿宋" w:hint="eastAsia"/>
          <w:b w:val="0"/>
          <w:bCs/>
          <w:sz w:val="32"/>
          <w:szCs w:val="32"/>
        </w:rPr>
        <w:t>完成预算</w:t>
      </w:r>
      <w:r w:rsidR="00A2139D" w:rsidRPr="00A2139D">
        <w:rPr>
          <w:rStyle w:val="a7"/>
          <w:rFonts w:ascii="仿宋" w:eastAsia="仿宋" w:hAnsi="仿宋" w:hint="eastAsia"/>
          <w:b w:val="0"/>
          <w:bCs/>
          <w:sz w:val="32"/>
          <w:szCs w:val="32"/>
        </w:rPr>
        <w:t>95.12</w:t>
      </w:r>
      <w:r w:rsidRPr="00A2139D">
        <w:rPr>
          <w:rStyle w:val="a7"/>
          <w:rFonts w:ascii="仿宋" w:eastAsia="仿宋" w:hAnsi="仿宋"/>
          <w:b w:val="0"/>
          <w:bCs/>
          <w:sz w:val="32"/>
          <w:szCs w:val="32"/>
        </w:rPr>
        <w:t>%</w:t>
      </w:r>
      <w:r w:rsidRPr="00A2139D">
        <w:rPr>
          <w:rStyle w:val="a7"/>
          <w:rFonts w:ascii="仿宋" w:eastAsia="仿宋" w:hAnsi="仿宋" w:hint="eastAsia"/>
          <w:b w:val="0"/>
          <w:bCs/>
          <w:sz w:val="32"/>
          <w:szCs w:val="32"/>
        </w:rPr>
        <w:t>，</w:t>
      </w:r>
      <w:r w:rsidR="00A2139D">
        <w:rPr>
          <w:rStyle w:val="a7"/>
          <w:rFonts w:ascii="仿宋" w:eastAsia="仿宋" w:hAnsi="仿宋" w:hint="eastAsia"/>
          <w:b w:val="0"/>
          <w:bCs/>
          <w:sz w:val="32"/>
          <w:szCs w:val="32"/>
        </w:rPr>
        <w:t>决算数小于预算数的主要原因是</w:t>
      </w:r>
      <w:r w:rsidR="0064632F" w:rsidRPr="0064632F">
        <w:rPr>
          <w:rStyle w:val="a7"/>
          <w:rFonts w:ascii="仿宋" w:eastAsia="仿宋" w:hAnsi="仿宋" w:hint="eastAsia"/>
          <w:b w:val="0"/>
          <w:bCs/>
          <w:sz w:val="32"/>
          <w:szCs w:val="32"/>
        </w:rPr>
        <w:t>受疫情影响，工作计划有所调整，剩余经费财政收回</w:t>
      </w:r>
      <w:r w:rsidR="00A2139D" w:rsidRPr="00751784">
        <w:rPr>
          <w:rStyle w:val="a7"/>
          <w:rFonts w:ascii="仿宋" w:eastAsia="仿宋" w:hAnsi="仿宋" w:hint="eastAsia"/>
          <w:b w:val="0"/>
          <w:bCs/>
          <w:sz w:val="32"/>
          <w:szCs w:val="32"/>
        </w:rPr>
        <w:t>。</w:t>
      </w:r>
    </w:p>
    <w:p w:rsidR="00A2139D" w:rsidRDefault="006578E0" w:rsidP="00A2139D">
      <w:pPr>
        <w:spacing w:line="600" w:lineRule="exact"/>
        <w:ind w:firstLineChars="200" w:firstLine="643"/>
        <w:rPr>
          <w:rFonts w:ascii="仿宋" w:eastAsia="仿宋" w:hAnsi="仿宋"/>
          <w:b/>
          <w:sz w:val="32"/>
          <w:szCs w:val="32"/>
        </w:rPr>
      </w:pPr>
      <w:r w:rsidRPr="007377A1">
        <w:rPr>
          <w:rStyle w:val="a7"/>
          <w:rFonts w:ascii="仿宋_GB2312" w:eastAsia="仿宋_GB2312" w:hAnsi="仿宋" w:hint="eastAsia"/>
          <w:bCs/>
          <w:sz w:val="32"/>
          <w:szCs w:val="32"/>
        </w:rPr>
        <w:t>3.</w:t>
      </w:r>
      <w:r w:rsidRPr="007377A1">
        <w:rPr>
          <w:rStyle w:val="a7"/>
          <w:rFonts w:ascii="仿宋_GB2312" w:eastAsia="仿宋_GB2312" w:hAnsi="仿宋" w:hint="eastAsia"/>
          <w:bCs/>
        </w:rPr>
        <w:t xml:space="preserve"> </w:t>
      </w:r>
      <w:r w:rsidRPr="007377A1">
        <w:rPr>
          <w:rStyle w:val="a7"/>
          <w:rFonts w:ascii="仿宋_GB2312" w:eastAsia="仿宋_GB2312" w:hAnsi="仿宋" w:hint="eastAsia"/>
          <w:bCs/>
          <w:sz w:val="32"/>
          <w:szCs w:val="32"/>
        </w:rPr>
        <w:t>公共安全支出（类）公安（款）一般行政管理事务（项）:</w:t>
      </w:r>
      <w:r w:rsidRPr="002F3B95">
        <w:rPr>
          <w:rStyle w:val="a7"/>
          <w:rFonts w:ascii="仿宋" w:eastAsia="仿宋" w:hAnsi="仿宋"/>
          <w:bCs/>
          <w:sz w:val="32"/>
          <w:szCs w:val="32"/>
        </w:rPr>
        <w:t xml:space="preserve"> </w:t>
      </w:r>
      <w:r>
        <w:rPr>
          <w:rStyle w:val="a7"/>
          <w:rFonts w:ascii="仿宋" w:eastAsia="仿宋" w:hAnsi="仿宋" w:hint="eastAsia"/>
          <w:b w:val="0"/>
          <w:bCs/>
          <w:sz w:val="32"/>
          <w:szCs w:val="32"/>
        </w:rPr>
        <w:t>支出决算为</w:t>
      </w:r>
      <w:r w:rsidR="005656CD">
        <w:rPr>
          <w:rStyle w:val="a7"/>
          <w:rFonts w:ascii="仿宋" w:eastAsia="仿宋" w:hAnsi="仿宋" w:hint="eastAsia"/>
          <w:b w:val="0"/>
          <w:bCs/>
          <w:sz w:val="32"/>
          <w:szCs w:val="32"/>
        </w:rPr>
        <w:t>6606.26</w:t>
      </w:r>
      <w:r>
        <w:rPr>
          <w:rStyle w:val="a7"/>
          <w:rFonts w:ascii="仿宋" w:eastAsia="仿宋" w:hAnsi="仿宋" w:hint="eastAsia"/>
          <w:b w:val="0"/>
          <w:bCs/>
          <w:sz w:val="32"/>
          <w:szCs w:val="32"/>
        </w:rPr>
        <w:t>万元，</w:t>
      </w:r>
      <w:r w:rsidRPr="00A2139D">
        <w:rPr>
          <w:rStyle w:val="a7"/>
          <w:rFonts w:ascii="仿宋" w:eastAsia="仿宋" w:hAnsi="仿宋" w:hint="eastAsia"/>
          <w:b w:val="0"/>
          <w:bCs/>
          <w:sz w:val="32"/>
          <w:szCs w:val="32"/>
        </w:rPr>
        <w:t>完成预算</w:t>
      </w:r>
      <w:r w:rsidR="00A2139D" w:rsidRPr="00A2139D">
        <w:rPr>
          <w:rStyle w:val="a7"/>
          <w:rFonts w:ascii="仿宋" w:eastAsia="仿宋" w:hAnsi="仿宋" w:hint="eastAsia"/>
          <w:b w:val="0"/>
          <w:bCs/>
          <w:sz w:val="32"/>
          <w:szCs w:val="32"/>
        </w:rPr>
        <w:t>77.31</w:t>
      </w:r>
      <w:r w:rsidRPr="00A2139D">
        <w:rPr>
          <w:rStyle w:val="a7"/>
          <w:rFonts w:ascii="仿宋" w:eastAsia="仿宋" w:hAnsi="仿宋"/>
          <w:b w:val="0"/>
          <w:bCs/>
          <w:sz w:val="32"/>
          <w:szCs w:val="32"/>
        </w:rPr>
        <w:t>%</w:t>
      </w:r>
      <w:r w:rsidRPr="00A2139D">
        <w:rPr>
          <w:rStyle w:val="a7"/>
          <w:rFonts w:ascii="仿宋" w:eastAsia="仿宋" w:hAnsi="仿宋" w:hint="eastAsia"/>
          <w:b w:val="0"/>
          <w:bCs/>
          <w:sz w:val="32"/>
          <w:szCs w:val="32"/>
        </w:rPr>
        <w:t>，</w:t>
      </w:r>
      <w:r w:rsidR="00A2139D">
        <w:rPr>
          <w:rStyle w:val="a7"/>
          <w:rFonts w:ascii="仿宋" w:eastAsia="仿宋" w:hAnsi="仿宋" w:hint="eastAsia"/>
          <w:b w:val="0"/>
          <w:bCs/>
          <w:sz w:val="32"/>
          <w:szCs w:val="32"/>
        </w:rPr>
        <w:t>决算数小于预</w:t>
      </w:r>
      <w:r w:rsidR="00A2139D">
        <w:rPr>
          <w:rStyle w:val="a7"/>
          <w:rFonts w:ascii="仿宋" w:eastAsia="仿宋" w:hAnsi="仿宋" w:hint="eastAsia"/>
          <w:b w:val="0"/>
          <w:bCs/>
          <w:sz w:val="32"/>
          <w:szCs w:val="32"/>
        </w:rPr>
        <w:lastRenderedPageBreak/>
        <w:t>算数的主要原因是</w:t>
      </w:r>
      <w:r w:rsidR="0064632F" w:rsidRPr="0064632F">
        <w:rPr>
          <w:rStyle w:val="a7"/>
          <w:rFonts w:ascii="仿宋" w:eastAsia="仿宋" w:hAnsi="仿宋" w:hint="eastAsia"/>
          <w:b w:val="0"/>
          <w:bCs/>
          <w:sz w:val="32"/>
          <w:szCs w:val="32"/>
        </w:rPr>
        <w:t>受疫情影响，工作计划有所调整，剩余经费财政收回</w:t>
      </w:r>
      <w:r w:rsidR="00A2139D" w:rsidRPr="00751784">
        <w:rPr>
          <w:rStyle w:val="a7"/>
          <w:rFonts w:ascii="仿宋" w:eastAsia="仿宋" w:hAnsi="仿宋" w:hint="eastAsia"/>
          <w:b w:val="0"/>
          <w:bCs/>
          <w:sz w:val="32"/>
          <w:szCs w:val="32"/>
        </w:rPr>
        <w:t>。</w:t>
      </w:r>
    </w:p>
    <w:p w:rsidR="00E7310E" w:rsidRDefault="00CC417B" w:rsidP="006578E0">
      <w:pPr>
        <w:spacing w:line="600" w:lineRule="exact"/>
        <w:ind w:firstLineChars="200" w:firstLine="643"/>
        <w:rPr>
          <w:rStyle w:val="a7"/>
          <w:rFonts w:ascii="仿宋" w:eastAsia="仿宋" w:hAnsi="仿宋"/>
          <w:b w:val="0"/>
          <w:bCs/>
          <w:sz w:val="32"/>
          <w:szCs w:val="32"/>
        </w:rPr>
      </w:pPr>
      <w:r>
        <w:rPr>
          <w:rStyle w:val="a7"/>
          <w:rFonts w:ascii="仿宋_GB2312" w:eastAsia="仿宋_GB2312" w:hAnsi="仿宋" w:hint="eastAsia"/>
          <w:bCs/>
          <w:sz w:val="32"/>
          <w:szCs w:val="32"/>
        </w:rPr>
        <w:t>4</w:t>
      </w:r>
      <w:r w:rsidR="006578E0" w:rsidRPr="007377A1">
        <w:rPr>
          <w:rStyle w:val="a7"/>
          <w:rFonts w:ascii="仿宋_GB2312" w:eastAsia="仿宋_GB2312" w:hAnsi="仿宋" w:hint="eastAsia"/>
          <w:bCs/>
          <w:sz w:val="32"/>
          <w:szCs w:val="32"/>
        </w:rPr>
        <w:t>.</w:t>
      </w:r>
      <w:r w:rsidR="006578E0" w:rsidRPr="00E7310E">
        <w:rPr>
          <w:rStyle w:val="a7"/>
          <w:rFonts w:ascii="仿宋_GB2312" w:eastAsia="仿宋_GB2312" w:hAnsi="仿宋" w:hint="eastAsia"/>
          <w:bCs/>
          <w:sz w:val="32"/>
          <w:szCs w:val="32"/>
        </w:rPr>
        <w:t xml:space="preserve"> </w:t>
      </w:r>
      <w:r w:rsidR="006578E0" w:rsidRPr="007377A1">
        <w:rPr>
          <w:rStyle w:val="a7"/>
          <w:rFonts w:ascii="仿宋_GB2312" w:eastAsia="仿宋_GB2312" w:hAnsi="仿宋" w:hint="eastAsia"/>
          <w:bCs/>
          <w:sz w:val="32"/>
          <w:szCs w:val="32"/>
        </w:rPr>
        <w:t>社会保障和就业支出（类）行政事业单位</w:t>
      </w:r>
      <w:r w:rsidR="00306758">
        <w:rPr>
          <w:rStyle w:val="a7"/>
          <w:rFonts w:ascii="仿宋_GB2312" w:eastAsia="仿宋_GB2312" w:hAnsi="仿宋" w:hint="eastAsia"/>
          <w:bCs/>
          <w:sz w:val="32"/>
          <w:szCs w:val="32"/>
        </w:rPr>
        <w:t>养老支出</w:t>
      </w:r>
      <w:r w:rsidR="006578E0" w:rsidRPr="007377A1">
        <w:rPr>
          <w:rStyle w:val="a7"/>
          <w:rFonts w:ascii="仿宋_GB2312" w:eastAsia="仿宋_GB2312" w:hAnsi="仿宋" w:hint="eastAsia"/>
          <w:bCs/>
          <w:sz w:val="32"/>
          <w:szCs w:val="32"/>
        </w:rPr>
        <w:t>（款）</w:t>
      </w:r>
      <w:r w:rsidR="00306758">
        <w:rPr>
          <w:rStyle w:val="a7"/>
          <w:rFonts w:ascii="仿宋_GB2312" w:eastAsia="仿宋_GB2312" w:hAnsi="仿宋" w:hint="eastAsia"/>
          <w:bCs/>
          <w:sz w:val="32"/>
          <w:szCs w:val="32"/>
        </w:rPr>
        <w:t>行政事业单位离退休</w:t>
      </w:r>
      <w:r w:rsidR="006578E0" w:rsidRPr="007377A1">
        <w:rPr>
          <w:rStyle w:val="a7"/>
          <w:rFonts w:ascii="仿宋_GB2312" w:eastAsia="仿宋_GB2312" w:hAnsi="仿宋" w:hint="eastAsia"/>
          <w:bCs/>
          <w:sz w:val="32"/>
          <w:szCs w:val="32"/>
        </w:rPr>
        <w:t>（项）:</w:t>
      </w:r>
      <w:r w:rsidR="006578E0">
        <w:rPr>
          <w:rStyle w:val="a7"/>
          <w:rFonts w:ascii="仿宋" w:eastAsia="仿宋" w:hAnsi="仿宋"/>
          <w:b w:val="0"/>
          <w:bCs/>
          <w:sz w:val="32"/>
          <w:szCs w:val="32"/>
        </w:rPr>
        <w:t xml:space="preserve"> </w:t>
      </w:r>
      <w:r w:rsidR="006578E0">
        <w:rPr>
          <w:rStyle w:val="a7"/>
          <w:rFonts w:ascii="仿宋" w:eastAsia="仿宋" w:hAnsi="仿宋" w:hint="eastAsia"/>
          <w:b w:val="0"/>
          <w:bCs/>
          <w:sz w:val="32"/>
          <w:szCs w:val="32"/>
        </w:rPr>
        <w:t>支出决算为</w:t>
      </w:r>
      <w:r w:rsidR="005656CD">
        <w:rPr>
          <w:rStyle w:val="a7"/>
          <w:rFonts w:ascii="仿宋" w:eastAsia="仿宋" w:hAnsi="仿宋" w:hint="eastAsia"/>
          <w:b w:val="0"/>
          <w:bCs/>
          <w:sz w:val="32"/>
          <w:szCs w:val="32"/>
        </w:rPr>
        <w:t>170.89</w:t>
      </w:r>
      <w:r w:rsidR="006578E0">
        <w:rPr>
          <w:rStyle w:val="a7"/>
          <w:rFonts w:ascii="仿宋" w:eastAsia="仿宋" w:hAnsi="仿宋" w:hint="eastAsia"/>
          <w:b w:val="0"/>
          <w:bCs/>
          <w:sz w:val="32"/>
          <w:szCs w:val="32"/>
        </w:rPr>
        <w:t>万元，</w:t>
      </w:r>
      <w:r w:rsidR="006578E0" w:rsidRPr="00E7310E">
        <w:rPr>
          <w:rStyle w:val="a7"/>
          <w:rFonts w:ascii="仿宋" w:eastAsia="仿宋" w:hAnsi="仿宋" w:hint="eastAsia"/>
          <w:b w:val="0"/>
          <w:bCs/>
          <w:sz w:val="32"/>
          <w:szCs w:val="32"/>
        </w:rPr>
        <w:t>完成预算</w:t>
      </w:r>
      <w:r w:rsidR="00E7310E" w:rsidRPr="00E7310E">
        <w:rPr>
          <w:rStyle w:val="a7"/>
          <w:rFonts w:ascii="仿宋" w:eastAsia="仿宋" w:hAnsi="仿宋" w:hint="eastAsia"/>
          <w:b w:val="0"/>
          <w:bCs/>
          <w:sz w:val="32"/>
          <w:szCs w:val="32"/>
        </w:rPr>
        <w:t>100</w:t>
      </w:r>
      <w:r w:rsidR="006578E0" w:rsidRPr="00E7310E">
        <w:rPr>
          <w:rStyle w:val="a7"/>
          <w:rFonts w:ascii="仿宋" w:eastAsia="仿宋" w:hAnsi="仿宋"/>
          <w:b w:val="0"/>
          <w:bCs/>
          <w:sz w:val="32"/>
          <w:szCs w:val="32"/>
        </w:rPr>
        <w:t>%</w:t>
      </w:r>
      <w:r w:rsidR="006578E0" w:rsidRPr="00E7310E">
        <w:rPr>
          <w:rStyle w:val="a7"/>
          <w:rFonts w:ascii="仿宋" w:eastAsia="仿宋" w:hAnsi="仿宋" w:hint="eastAsia"/>
          <w:b w:val="0"/>
          <w:bCs/>
          <w:sz w:val="32"/>
          <w:szCs w:val="32"/>
        </w:rPr>
        <w:t>，</w:t>
      </w:r>
      <w:r w:rsidR="00E7310E" w:rsidRPr="00E7310E">
        <w:rPr>
          <w:rStyle w:val="a7"/>
          <w:rFonts w:ascii="仿宋" w:eastAsia="仿宋" w:hAnsi="仿宋" w:hint="eastAsia"/>
          <w:b w:val="0"/>
          <w:bCs/>
          <w:sz w:val="32"/>
          <w:szCs w:val="32"/>
        </w:rPr>
        <w:t>与预算持平。</w:t>
      </w:r>
    </w:p>
    <w:p w:rsidR="00E7310E" w:rsidRPr="00751784" w:rsidRDefault="00CC417B" w:rsidP="00E7310E">
      <w:pPr>
        <w:adjustRightInd w:val="0"/>
        <w:snapToGrid w:val="0"/>
        <w:spacing w:line="600" w:lineRule="exact"/>
        <w:ind w:firstLineChars="200" w:firstLine="643"/>
        <w:rPr>
          <w:rStyle w:val="a7"/>
          <w:rFonts w:ascii="仿宋" w:eastAsia="仿宋" w:hAnsi="仿宋"/>
          <w:b w:val="0"/>
          <w:bCs/>
          <w:sz w:val="32"/>
          <w:szCs w:val="32"/>
        </w:rPr>
      </w:pPr>
      <w:r>
        <w:rPr>
          <w:rStyle w:val="a7"/>
          <w:rFonts w:ascii="仿宋_GB2312" w:eastAsia="仿宋_GB2312" w:hAnsi="仿宋" w:hint="eastAsia"/>
          <w:bCs/>
          <w:sz w:val="32"/>
          <w:szCs w:val="32"/>
        </w:rPr>
        <w:t>5</w:t>
      </w:r>
      <w:r w:rsidR="006578E0" w:rsidRPr="007377A1">
        <w:rPr>
          <w:rStyle w:val="a7"/>
          <w:rFonts w:ascii="仿宋_GB2312" w:eastAsia="仿宋_GB2312" w:hAnsi="仿宋" w:hint="eastAsia"/>
          <w:bCs/>
          <w:sz w:val="32"/>
          <w:szCs w:val="32"/>
        </w:rPr>
        <w:t>.</w:t>
      </w:r>
      <w:r w:rsidR="006578E0" w:rsidRPr="007377A1">
        <w:rPr>
          <w:rStyle w:val="a7"/>
          <w:rFonts w:ascii="仿宋_GB2312" w:eastAsia="仿宋_GB2312" w:hAnsi="仿宋" w:hint="eastAsia"/>
          <w:bCs/>
        </w:rPr>
        <w:t xml:space="preserve"> </w:t>
      </w:r>
      <w:r w:rsidR="006578E0" w:rsidRPr="007377A1">
        <w:rPr>
          <w:rStyle w:val="a7"/>
          <w:rFonts w:ascii="仿宋_GB2312" w:eastAsia="仿宋_GB2312" w:hAnsi="仿宋" w:hint="eastAsia"/>
          <w:bCs/>
          <w:sz w:val="32"/>
          <w:szCs w:val="32"/>
        </w:rPr>
        <w:t>社会保障和就业支出（类）</w:t>
      </w:r>
      <w:r w:rsidR="0042377F" w:rsidRPr="0042377F">
        <w:rPr>
          <w:rStyle w:val="a7"/>
          <w:rFonts w:ascii="仿宋_GB2312" w:eastAsia="仿宋_GB2312" w:hAnsi="仿宋" w:hint="eastAsia"/>
          <w:bCs/>
          <w:sz w:val="32"/>
          <w:szCs w:val="32"/>
        </w:rPr>
        <w:t>行政事业单位养老支出</w:t>
      </w:r>
      <w:r w:rsidR="006578E0" w:rsidRPr="007377A1">
        <w:rPr>
          <w:rStyle w:val="a7"/>
          <w:rFonts w:ascii="仿宋_GB2312" w:eastAsia="仿宋_GB2312" w:hAnsi="仿宋" w:hint="eastAsia"/>
          <w:bCs/>
          <w:sz w:val="32"/>
          <w:szCs w:val="32"/>
        </w:rPr>
        <w:t>（款）</w:t>
      </w:r>
      <w:r w:rsidR="0042377F" w:rsidRPr="0042377F">
        <w:rPr>
          <w:rStyle w:val="a7"/>
          <w:rFonts w:ascii="仿宋_GB2312" w:eastAsia="仿宋_GB2312" w:hAnsi="仿宋" w:hint="eastAsia"/>
          <w:bCs/>
          <w:sz w:val="32"/>
          <w:szCs w:val="32"/>
        </w:rPr>
        <w:t>机关事业单位基本养老保险缴费支出</w:t>
      </w:r>
      <w:r w:rsidR="006578E0" w:rsidRPr="007377A1">
        <w:rPr>
          <w:rStyle w:val="a7"/>
          <w:rFonts w:ascii="仿宋_GB2312" w:eastAsia="仿宋_GB2312" w:hAnsi="仿宋" w:hint="eastAsia"/>
          <w:bCs/>
          <w:sz w:val="32"/>
          <w:szCs w:val="32"/>
        </w:rPr>
        <w:t>（项）:</w:t>
      </w:r>
      <w:r w:rsidR="006578E0">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187.89</w:t>
      </w:r>
      <w:r w:rsidR="006578E0">
        <w:rPr>
          <w:rStyle w:val="a7"/>
          <w:rFonts w:ascii="仿宋" w:eastAsia="仿宋" w:hAnsi="仿宋" w:hint="eastAsia"/>
          <w:b w:val="0"/>
          <w:bCs/>
          <w:sz w:val="32"/>
          <w:szCs w:val="32"/>
        </w:rPr>
        <w:t>万元，</w:t>
      </w:r>
      <w:r w:rsidR="006578E0" w:rsidRPr="00E7310E">
        <w:rPr>
          <w:rStyle w:val="a7"/>
          <w:rFonts w:ascii="仿宋" w:eastAsia="仿宋" w:hAnsi="仿宋" w:hint="eastAsia"/>
          <w:b w:val="0"/>
          <w:bCs/>
          <w:sz w:val="32"/>
          <w:szCs w:val="32"/>
        </w:rPr>
        <w:t>完成预算</w:t>
      </w:r>
      <w:r w:rsidR="00E7310E" w:rsidRPr="00E7310E">
        <w:rPr>
          <w:rStyle w:val="a7"/>
          <w:rFonts w:ascii="仿宋" w:eastAsia="仿宋" w:hAnsi="仿宋" w:hint="eastAsia"/>
          <w:b w:val="0"/>
          <w:bCs/>
          <w:sz w:val="32"/>
          <w:szCs w:val="32"/>
        </w:rPr>
        <w:t>91.18</w:t>
      </w:r>
      <w:r w:rsidR="006578E0" w:rsidRPr="00E7310E">
        <w:rPr>
          <w:rStyle w:val="a7"/>
          <w:rFonts w:ascii="仿宋" w:eastAsia="仿宋" w:hAnsi="仿宋"/>
          <w:b w:val="0"/>
          <w:bCs/>
          <w:sz w:val="32"/>
          <w:szCs w:val="32"/>
        </w:rPr>
        <w:t>%</w:t>
      </w:r>
      <w:r w:rsidR="00306758" w:rsidRPr="00E7310E">
        <w:rPr>
          <w:rStyle w:val="a7"/>
          <w:rFonts w:ascii="仿宋" w:eastAsia="仿宋" w:hAnsi="仿宋" w:hint="eastAsia"/>
          <w:b w:val="0"/>
          <w:bCs/>
          <w:sz w:val="32"/>
          <w:szCs w:val="32"/>
        </w:rPr>
        <w:t>，</w:t>
      </w:r>
      <w:r w:rsidR="00E7310E">
        <w:rPr>
          <w:rStyle w:val="a7"/>
          <w:rFonts w:ascii="仿宋" w:eastAsia="仿宋" w:hAnsi="仿宋" w:hint="eastAsia"/>
          <w:b w:val="0"/>
          <w:bCs/>
          <w:sz w:val="32"/>
          <w:szCs w:val="32"/>
        </w:rPr>
        <w:t>决算数小于预算数的主要原因是</w:t>
      </w:r>
      <w:r w:rsidR="00940E5E" w:rsidRPr="00940E5E">
        <w:rPr>
          <w:rStyle w:val="a7"/>
          <w:rFonts w:ascii="仿宋" w:eastAsia="仿宋" w:hAnsi="仿宋" w:hint="eastAsia"/>
          <w:b w:val="0"/>
          <w:bCs/>
          <w:sz w:val="32"/>
          <w:szCs w:val="32"/>
        </w:rPr>
        <w:t>年中追加预算无法准确测算实际开支需要</w:t>
      </w:r>
      <w:r w:rsidR="00E7310E" w:rsidRPr="00751784">
        <w:rPr>
          <w:rStyle w:val="a7"/>
          <w:rFonts w:ascii="仿宋" w:eastAsia="仿宋" w:hAnsi="仿宋" w:hint="eastAsia"/>
          <w:b w:val="0"/>
          <w:bCs/>
          <w:sz w:val="32"/>
          <w:szCs w:val="32"/>
        </w:rPr>
        <w:t>。</w:t>
      </w:r>
    </w:p>
    <w:p w:rsidR="00E7310E" w:rsidRPr="00751784" w:rsidRDefault="00CC417B" w:rsidP="00E7310E">
      <w:pPr>
        <w:adjustRightInd w:val="0"/>
        <w:snapToGrid w:val="0"/>
        <w:spacing w:line="600" w:lineRule="exact"/>
        <w:ind w:firstLineChars="200" w:firstLine="643"/>
        <w:rPr>
          <w:rStyle w:val="a7"/>
          <w:rFonts w:ascii="仿宋" w:eastAsia="仿宋" w:hAnsi="仿宋"/>
          <w:b w:val="0"/>
          <w:bCs/>
          <w:sz w:val="32"/>
          <w:szCs w:val="32"/>
        </w:rPr>
      </w:pPr>
      <w:r w:rsidRPr="00E7310E">
        <w:rPr>
          <w:rStyle w:val="a7"/>
          <w:rFonts w:ascii="仿宋_GB2312" w:eastAsia="仿宋_GB2312" w:hAnsi="仿宋" w:hint="eastAsia"/>
          <w:bCs/>
          <w:sz w:val="32"/>
          <w:szCs w:val="32"/>
        </w:rPr>
        <w:t>6</w:t>
      </w:r>
      <w:r w:rsidR="006578E0" w:rsidRPr="00E7310E">
        <w:rPr>
          <w:rStyle w:val="a7"/>
          <w:rFonts w:ascii="仿宋_GB2312" w:eastAsia="仿宋_GB2312" w:hAnsi="仿宋" w:hint="eastAsia"/>
          <w:bCs/>
          <w:sz w:val="32"/>
          <w:szCs w:val="32"/>
        </w:rPr>
        <w:t>.</w:t>
      </w:r>
      <w:r w:rsidR="006578E0" w:rsidRPr="007377A1">
        <w:rPr>
          <w:rStyle w:val="a7"/>
          <w:rFonts w:ascii="仿宋_GB2312" w:eastAsia="仿宋_GB2312" w:hAnsi="仿宋" w:hint="eastAsia"/>
          <w:bCs/>
          <w:sz w:val="32"/>
          <w:szCs w:val="32"/>
        </w:rPr>
        <w:t>社会保障和就业支出（类）</w:t>
      </w:r>
      <w:r w:rsidR="0042377F" w:rsidRPr="0042377F">
        <w:rPr>
          <w:rStyle w:val="a7"/>
          <w:rFonts w:ascii="仿宋_GB2312" w:eastAsia="仿宋_GB2312" w:hAnsi="仿宋" w:hint="eastAsia"/>
          <w:bCs/>
          <w:sz w:val="32"/>
          <w:szCs w:val="32"/>
        </w:rPr>
        <w:t>行政事业单位养老支出</w:t>
      </w:r>
      <w:r w:rsidR="006578E0" w:rsidRPr="007377A1">
        <w:rPr>
          <w:rStyle w:val="a7"/>
          <w:rFonts w:ascii="仿宋_GB2312" w:eastAsia="仿宋_GB2312" w:hAnsi="仿宋" w:hint="eastAsia"/>
          <w:bCs/>
          <w:sz w:val="32"/>
          <w:szCs w:val="32"/>
        </w:rPr>
        <w:t>（款）</w:t>
      </w:r>
      <w:r w:rsidR="0042377F" w:rsidRPr="0042377F">
        <w:rPr>
          <w:rStyle w:val="a7"/>
          <w:rFonts w:ascii="仿宋_GB2312" w:eastAsia="仿宋_GB2312" w:hAnsi="仿宋" w:hint="eastAsia"/>
          <w:bCs/>
          <w:sz w:val="32"/>
          <w:szCs w:val="32"/>
        </w:rPr>
        <w:t>机关事业单位职业年金缴费支出</w:t>
      </w:r>
      <w:r w:rsidR="006578E0" w:rsidRPr="007377A1">
        <w:rPr>
          <w:rStyle w:val="a7"/>
          <w:rFonts w:ascii="仿宋_GB2312" w:eastAsia="仿宋_GB2312" w:hAnsi="仿宋" w:hint="eastAsia"/>
          <w:bCs/>
          <w:sz w:val="32"/>
          <w:szCs w:val="32"/>
        </w:rPr>
        <w:t>（项）:</w:t>
      </w:r>
      <w:r w:rsidR="006578E0">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36.76</w:t>
      </w:r>
      <w:r w:rsidR="006578E0">
        <w:rPr>
          <w:rStyle w:val="a7"/>
          <w:rFonts w:ascii="仿宋" w:eastAsia="仿宋" w:hAnsi="仿宋" w:hint="eastAsia"/>
          <w:b w:val="0"/>
          <w:bCs/>
          <w:sz w:val="32"/>
          <w:szCs w:val="32"/>
        </w:rPr>
        <w:t>万元，</w:t>
      </w:r>
      <w:r w:rsidR="006578E0" w:rsidRPr="00E7310E">
        <w:rPr>
          <w:rStyle w:val="a7"/>
          <w:rFonts w:ascii="仿宋" w:eastAsia="仿宋" w:hAnsi="仿宋" w:hint="eastAsia"/>
          <w:b w:val="0"/>
          <w:bCs/>
          <w:sz w:val="32"/>
          <w:szCs w:val="32"/>
        </w:rPr>
        <w:t>完成预算</w:t>
      </w:r>
      <w:r w:rsidR="00E7310E" w:rsidRPr="00E7310E">
        <w:rPr>
          <w:rStyle w:val="a7"/>
          <w:rFonts w:ascii="仿宋" w:eastAsia="仿宋" w:hAnsi="仿宋" w:hint="eastAsia"/>
          <w:b w:val="0"/>
          <w:bCs/>
          <w:sz w:val="32"/>
          <w:szCs w:val="32"/>
        </w:rPr>
        <w:t>71.12</w:t>
      </w:r>
      <w:r w:rsidR="006578E0" w:rsidRPr="00E7310E">
        <w:rPr>
          <w:rStyle w:val="a7"/>
          <w:rFonts w:ascii="仿宋" w:eastAsia="仿宋" w:hAnsi="仿宋"/>
          <w:b w:val="0"/>
          <w:bCs/>
          <w:sz w:val="32"/>
          <w:szCs w:val="32"/>
        </w:rPr>
        <w:t>%</w:t>
      </w:r>
      <w:r w:rsidR="00306758" w:rsidRPr="00E7310E">
        <w:rPr>
          <w:rStyle w:val="a7"/>
          <w:rFonts w:ascii="仿宋" w:eastAsia="仿宋" w:hAnsi="仿宋" w:hint="eastAsia"/>
          <w:b w:val="0"/>
          <w:bCs/>
          <w:sz w:val="32"/>
          <w:szCs w:val="32"/>
        </w:rPr>
        <w:t>，</w:t>
      </w:r>
      <w:r w:rsidR="00E7310E">
        <w:rPr>
          <w:rStyle w:val="a7"/>
          <w:rFonts w:ascii="仿宋" w:eastAsia="仿宋" w:hAnsi="仿宋" w:hint="eastAsia"/>
          <w:b w:val="0"/>
          <w:bCs/>
          <w:sz w:val="32"/>
          <w:szCs w:val="32"/>
        </w:rPr>
        <w:t>决算数小于预算数的主要原因是</w:t>
      </w:r>
      <w:r w:rsidR="00940E5E" w:rsidRPr="00940E5E">
        <w:rPr>
          <w:rStyle w:val="a7"/>
          <w:rFonts w:ascii="仿宋" w:eastAsia="仿宋" w:hAnsi="仿宋" w:hint="eastAsia"/>
          <w:b w:val="0"/>
          <w:bCs/>
          <w:sz w:val="32"/>
          <w:szCs w:val="32"/>
        </w:rPr>
        <w:t>年中追加预算无法准确测算实际开支需要</w:t>
      </w:r>
      <w:r w:rsidR="00E7310E" w:rsidRPr="00751784">
        <w:rPr>
          <w:rStyle w:val="a7"/>
          <w:rFonts w:ascii="仿宋" w:eastAsia="仿宋" w:hAnsi="仿宋" w:hint="eastAsia"/>
          <w:b w:val="0"/>
          <w:bCs/>
          <w:sz w:val="32"/>
          <w:szCs w:val="32"/>
        </w:rPr>
        <w:t>。</w:t>
      </w:r>
    </w:p>
    <w:p w:rsidR="006578E0" w:rsidRDefault="00CC417B" w:rsidP="006578E0">
      <w:pPr>
        <w:pStyle w:val="a0"/>
        <w:spacing w:before="93"/>
        <w:ind w:firstLineChars="200" w:firstLine="643"/>
        <w:rPr>
          <w:rStyle w:val="a7"/>
          <w:rFonts w:ascii="仿宋" w:eastAsia="仿宋" w:hAnsi="仿宋"/>
          <w:b w:val="0"/>
          <w:bCs/>
          <w:sz w:val="32"/>
          <w:szCs w:val="32"/>
        </w:rPr>
      </w:pPr>
      <w:r>
        <w:rPr>
          <w:rStyle w:val="a7"/>
          <w:rFonts w:hint="eastAsia"/>
          <w:bCs/>
          <w:kern w:val="2"/>
          <w:sz w:val="32"/>
          <w:szCs w:val="32"/>
        </w:rPr>
        <w:t>7</w:t>
      </w:r>
      <w:r w:rsidR="006578E0" w:rsidRPr="002F3B95">
        <w:rPr>
          <w:rStyle w:val="a7"/>
          <w:rFonts w:hint="eastAsia"/>
          <w:bCs/>
          <w:kern w:val="2"/>
          <w:sz w:val="32"/>
          <w:szCs w:val="32"/>
        </w:rPr>
        <w:t>. 卫生健康支出（类）行政事业单位医疗（款）行政单位医疗（项）</w:t>
      </w:r>
      <w:r w:rsidR="006578E0" w:rsidRPr="002F3B95">
        <w:rPr>
          <w:rStyle w:val="a7"/>
          <w:bCs/>
          <w:kern w:val="2"/>
          <w:sz w:val="32"/>
          <w:szCs w:val="32"/>
        </w:rPr>
        <w:t>:</w:t>
      </w:r>
      <w:r w:rsidR="006578E0">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162.18</w:t>
      </w:r>
      <w:r w:rsidR="006578E0">
        <w:rPr>
          <w:rStyle w:val="a7"/>
          <w:rFonts w:ascii="仿宋" w:eastAsia="仿宋" w:hAnsi="仿宋" w:hint="eastAsia"/>
          <w:b w:val="0"/>
          <w:bCs/>
          <w:sz w:val="32"/>
          <w:szCs w:val="32"/>
        </w:rPr>
        <w:t>万元，</w:t>
      </w:r>
      <w:r w:rsidR="006578E0" w:rsidRPr="00E7310E">
        <w:rPr>
          <w:rStyle w:val="a7"/>
          <w:rFonts w:ascii="仿宋" w:eastAsia="仿宋" w:hAnsi="仿宋" w:hint="eastAsia"/>
          <w:b w:val="0"/>
          <w:bCs/>
          <w:sz w:val="32"/>
          <w:szCs w:val="32"/>
        </w:rPr>
        <w:t>完成预算100</w:t>
      </w:r>
      <w:r w:rsidR="006578E0" w:rsidRPr="00E7310E">
        <w:rPr>
          <w:rStyle w:val="a7"/>
          <w:rFonts w:ascii="仿宋" w:eastAsia="仿宋" w:hAnsi="仿宋"/>
          <w:b w:val="0"/>
          <w:bCs/>
          <w:sz w:val="32"/>
          <w:szCs w:val="32"/>
        </w:rPr>
        <w:t>%</w:t>
      </w:r>
      <w:r w:rsidR="00306758" w:rsidRPr="00E7310E">
        <w:rPr>
          <w:rStyle w:val="a7"/>
          <w:rFonts w:ascii="仿宋" w:eastAsia="仿宋" w:hAnsi="仿宋" w:hint="eastAsia"/>
          <w:b w:val="0"/>
          <w:bCs/>
          <w:sz w:val="32"/>
          <w:szCs w:val="32"/>
        </w:rPr>
        <w:t>，与预算持平。</w:t>
      </w:r>
    </w:p>
    <w:p w:rsidR="006578E0" w:rsidRDefault="00CC417B" w:rsidP="006578E0">
      <w:pPr>
        <w:pStyle w:val="a0"/>
        <w:spacing w:before="93"/>
        <w:ind w:firstLineChars="200" w:firstLine="643"/>
        <w:rPr>
          <w:rStyle w:val="a7"/>
          <w:rFonts w:ascii="仿宋" w:eastAsia="仿宋" w:hAnsi="仿宋"/>
          <w:b w:val="0"/>
          <w:bCs/>
          <w:sz w:val="32"/>
          <w:szCs w:val="32"/>
        </w:rPr>
      </w:pPr>
      <w:r>
        <w:rPr>
          <w:rStyle w:val="a7"/>
          <w:rFonts w:hint="eastAsia"/>
          <w:bCs/>
          <w:kern w:val="2"/>
          <w:sz w:val="32"/>
          <w:szCs w:val="32"/>
        </w:rPr>
        <w:t>8</w:t>
      </w:r>
      <w:r w:rsidR="006578E0" w:rsidRPr="002F3B95">
        <w:rPr>
          <w:rStyle w:val="a7"/>
          <w:rFonts w:hint="eastAsia"/>
          <w:bCs/>
          <w:kern w:val="2"/>
          <w:sz w:val="32"/>
          <w:szCs w:val="32"/>
        </w:rPr>
        <w:t>. 卫生健康支出（类）行政事业单位医疗（款）公务员医疗补助（项）</w:t>
      </w:r>
      <w:r w:rsidR="006578E0" w:rsidRPr="002F3B95">
        <w:rPr>
          <w:rStyle w:val="a7"/>
          <w:bCs/>
          <w:kern w:val="2"/>
          <w:sz w:val="32"/>
          <w:szCs w:val="32"/>
        </w:rPr>
        <w:t>:</w:t>
      </w:r>
      <w:r w:rsidR="006578E0">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26.31</w:t>
      </w:r>
      <w:r w:rsidR="006578E0">
        <w:rPr>
          <w:rStyle w:val="a7"/>
          <w:rFonts w:ascii="仿宋" w:eastAsia="仿宋" w:hAnsi="仿宋" w:hint="eastAsia"/>
          <w:b w:val="0"/>
          <w:bCs/>
          <w:sz w:val="32"/>
          <w:szCs w:val="32"/>
        </w:rPr>
        <w:t>万元，</w:t>
      </w:r>
      <w:r w:rsidR="006578E0" w:rsidRPr="00E7310E">
        <w:rPr>
          <w:rStyle w:val="a7"/>
          <w:rFonts w:ascii="仿宋" w:eastAsia="仿宋" w:hAnsi="仿宋" w:hint="eastAsia"/>
          <w:b w:val="0"/>
          <w:bCs/>
          <w:sz w:val="32"/>
          <w:szCs w:val="32"/>
        </w:rPr>
        <w:t>完成预算100</w:t>
      </w:r>
      <w:r w:rsidR="006578E0" w:rsidRPr="00E7310E">
        <w:rPr>
          <w:rStyle w:val="a7"/>
          <w:rFonts w:ascii="仿宋" w:eastAsia="仿宋" w:hAnsi="仿宋"/>
          <w:b w:val="0"/>
          <w:bCs/>
          <w:sz w:val="32"/>
          <w:szCs w:val="32"/>
        </w:rPr>
        <w:t>%</w:t>
      </w:r>
      <w:r w:rsidR="00306758" w:rsidRPr="00E7310E">
        <w:rPr>
          <w:rStyle w:val="a7"/>
          <w:rFonts w:ascii="仿宋" w:eastAsia="仿宋" w:hAnsi="仿宋" w:hint="eastAsia"/>
          <w:b w:val="0"/>
          <w:bCs/>
          <w:sz w:val="32"/>
          <w:szCs w:val="32"/>
        </w:rPr>
        <w:t>，与预算持平。</w:t>
      </w:r>
    </w:p>
    <w:p w:rsidR="00E7310E" w:rsidRPr="00751784" w:rsidRDefault="00CC417B" w:rsidP="00E7310E">
      <w:pPr>
        <w:adjustRightInd w:val="0"/>
        <w:snapToGrid w:val="0"/>
        <w:spacing w:line="600" w:lineRule="exact"/>
        <w:ind w:firstLineChars="200" w:firstLine="643"/>
        <w:rPr>
          <w:rStyle w:val="a7"/>
          <w:rFonts w:ascii="仿宋" w:eastAsia="仿宋" w:hAnsi="仿宋"/>
          <w:b w:val="0"/>
          <w:bCs/>
          <w:sz w:val="32"/>
          <w:szCs w:val="32"/>
        </w:rPr>
      </w:pPr>
      <w:r w:rsidRPr="00E7310E">
        <w:rPr>
          <w:rStyle w:val="a7"/>
          <w:rFonts w:ascii="仿宋_GB2312" w:eastAsia="仿宋_GB2312" w:hint="eastAsia"/>
          <w:bCs/>
          <w:sz w:val="32"/>
          <w:szCs w:val="32"/>
        </w:rPr>
        <w:t>9</w:t>
      </w:r>
      <w:r w:rsidR="006578E0" w:rsidRPr="00E7310E">
        <w:rPr>
          <w:rStyle w:val="a7"/>
          <w:rFonts w:ascii="仿宋_GB2312" w:eastAsia="仿宋_GB2312" w:hint="eastAsia"/>
          <w:bCs/>
          <w:sz w:val="32"/>
          <w:szCs w:val="32"/>
        </w:rPr>
        <w:t>. 住房保障支出（类）住房改革支出（款）住房公积金（项）:</w:t>
      </w:r>
      <w:r w:rsidR="006578E0">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206.35</w:t>
      </w:r>
      <w:r w:rsidR="006578E0">
        <w:rPr>
          <w:rStyle w:val="a7"/>
          <w:rFonts w:ascii="仿宋" w:eastAsia="仿宋" w:hAnsi="仿宋" w:hint="eastAsia"/>
          <w:b w:val="0"/>
          <w:bCs/>
          <w:sz w:val="32"/>
          <w:szCs w:val="32"/>
        </w:rPr>
        <w:t>万元，</w:t>
      </w:r>
      <w:r w:rsidR="006578E0" w:rsidRPr="00E7310E">
        <w:rPr>
          <w:rStyle w:val="a7"/>
          <w:rFonts w:ascii="仿宋" w:eastAsia="仿宋" w:hAnsi="仿宋" w:hint="eastAsia"/>
          <w:b w:val="0"/>
          <w:bCs/>
          <w:sz w:val="32"/>
          <w:szCs w:val="32"/>
        </w:rPr>
        <w:t>完成预算</w:t>
      </w:r>
      <w:r w:rsidR="00E7310E" w:rsidRPr="00E7310E">
        <w:rPr>
          <w:rStyle w:val="a7"/>
          <w:rFonts w:ascii="仿宋" w:eastAsia="仿宋" w:hAnsi="仿宋" w:hint="eastAsia"/>
          <w:b w:val="0"/>
          <w:bCs/>
          <w:sz w:val="32"/>
          <w:szCs w:val="32"/>
        </w:rPr>
        <w:t>99.66</w:t>
      </w:r>
      <w:r w:rsidR="006578E0" w:rsidRPr="00E7310E">
        <w:rPr>
          <w:rStyle w:val="a7"/>
          <w:rFonts w:ascii="仿宋" w:eastAsia="仿宋" w:hAnsi="仿宋"/>
          <w:b w:val="0"/>
          <w:bCs/>
          <w:sz w:val="32"/>
          <w:szCs w:val="32"/>
        </w:rPr>
        <w:t>%</w:t>
      </w:r>
      <w:r w:rsidR="00306758" w:rsidRPr="00E7310E">
        <w:rPr>
          <w:rStyle w:val="a7"/>
          <w:rFonts w:ascii="仿宋" w:eastAsia="仿宋" w:hAnsi="仿宋" w:hint="eastAsia"/>
          <w:b w:val="0"/>
          <w:bCs/>
          <w:sz w:val="32"/>
          <w:szCs w:val="32"/>
        </w:rPr>
        <w:t>，</w:t>
      </w:r>
      <w:r w:rsidR="00E7310E">
        <w:rPr>
          <w:rStyle w:val="a7"/>
          <w:rFonts w:ascii="仿宋" w:eastAsia="仿宋" w:hAnsi="仿宋" w:hint="eastAsia"/>
          <w:b w:val="0"/>
          <w:bCs/>
          <w:sz w:val="32"/>
          <w:szCs w:val="32"/>
        </w:rPr>
        <w:t>决算数小于预算数的主要原因是</w:t>
      </w:r>
      <w:r w:rsidR="00940E5E" w:rsidRPr="00940E5E">
        <w:rPr>
          <w:rStyle w:val="a7"/>
          <w:rFonts w:ascii="仿宋" w:eastAsia="仿宋" w:hAnsi="仿宋" w:hint="eastAsia"/>
          <w:b w:val="0"/>
          <w:bCs/>
          <w:sz w:val="32"/>
          <w:szCs w:val="32"/>
        </w:rPr>
        <w:t>年中追加预算无法准确测算实</w:t>
      </w:r>
      <w:r w:rsidR="00940E5E" w:rsidRPr="00940E5E">
        <w:rPr>
          <w:rStyle w:val="a7"/>
          <w:rFonts w:ascii="仿宋" w:eastAsia="仿宋" w:hAnsi="仿宋" w:hint="eastAsia"/>
          <w:b w:val="0"/>
          <w:bCs/>
          <w:sz w:val="32"/>
          <w:szCs w:val="32"/>
        </w:rPr>
        <w:lastRenderedPageBreak/>
        <w:t>际开支需要</w:t>
      </w:r>
      <w:r w:rsidR="00E7310E" w:rsidRPr="00751784">
        <w:rPr>
          <w:rStyle w:val="a7"/>
          <w:rFonts w:ascii="仿宋" w:eastAsia="仿宋" w:hAnsi="仿宋" w:hint="eastAsia"/>
          <w:b w:val="0"/>
          <w:bCs/>
          <w:sz w:val="32"/>
          <w:szCs w:val="32"/>
        </w:rPr>
        <w:t>。</w:t>
      </w:r>
    </w:p>
    <w:p w:rsidR="00E7310E" w:rsidRDefault="00CC417B" w:rsidP="006578E0">
      <w:pPr>
        <w:pStyle w:val="a0"/>
        <w:spacing w:before="93"/>
        <w:ind w:firstLineChars="200" w:firstLine="643"/>
        <w:rPr>
          <w:rStyle w:val="a7"/>
          <w:rFonts w:ascii="仿宋" w:eastAsia="仿宋" w:hAnsi="仿宋"/>
          <w:b w:val="0"/>
          <w:bCs/>
          <w:sz w:val="32"/>
          <w:szCs w:val="32"/>
        </w:rPr>
      </w:pPr>
      <w:r>
        <w:rPr>
          <w:rStyle w:val="a7"/>
          <w:rFonts w:hint="eastAsia"/>
          <w:color w:val="000000"/>
          <w:sz w:val="32"/>
          <w:szCs w:val="32"/>
        </w:rPr>
        <w:t>10</w:t>
      </w:r>
      <w:r w:rsidR="006578E0" w:rsidRPr="00D240CC">
        <w:rPr>
          <w:rStyle w:val="a7"/>
          <w:rFonts w:hint="eastAsia"/>
          <w:color w:val="000000"/>
          <w:sz w:val="32"/>
          <w:szCs w:val="32"/>
        </w:rPr>
        <w:t>.</w:t>
      </w:r>
      <w:r w:rsidR="006578E0" w:rsidRPr="00D240CC">
        <w:rPr>
          <w:rFonts w:hint="eastAsia"/>
        </w:rPr>
        <w:t xml:space="preserve"> </w:t>
      </w:r>
      <w:r w:rsidR="006578E0" w:rsidRPr="00D240CC">
        <w:rPr>
          <w:rFonts w:hint="eastAsia"/>
          <w:b/>
          <w:color w:val="000000" w:themeColor="text1"/>
          <w:sz w:val="32"/>
          <w:szCs w:val="32"/>
        </w:rPr>
        <w:t>住房保障支出</w:t>
      </w:r>
      <w:r w:rsidR="006578E0" w:rsidRPr="00D240CC">
        <w:rPr>
          <w:rStyle w:val="a7"/>
          <w:rFonts w:hint="eastAsia"/>
          <w:color w:val="000000"/>
          <w:sz w:val="32"/>
          <w:szCs w:val="32"/>
        </w:rPr>
        <w:t>（类）住房改革支出（款）购房补贴（项）</w:t>
      </w:r>
      <w:r w:rsidR="006578E0">
        <w:rPr>
          <w:rStyle w:val="a7"/>
          <w:rFonts w:ascii="仿宋" w:eastAsia="仿宋" w:hAnsi="仿宋"/>
          <w:bCs/>
          <w:sz w:val="32"/>
          <w:szCs w:val="32"/>
        </w:rPr>
        <w:t>:</w:t>
      </w:r>
      <w:r w:rsidR="006578E0">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193.30</w:t>
      </w:r>
      <w:r w:rsidR="006578E0">
        <w:rPr>
          <w:rStyle w:val="a7"/>
          <w:rFonts w:ascii="仿宋" w:eastAsia="仿宋" w:hAnsi="仿宋" w:hint="eastAsia"/>
          <w:b w:val="0"/>
          <w:bCs/>
          <w:sz w:val="32"/>
          <w:szCs w:val="32"/>
        </w:rPr>
        <w:t>万元，</w:t>
      </w:r>
      <w:r w:rsidR="006578E0" w:rsidRPr="00E7310E">
        <w:rPr>
          <w:rStyle w:val="a7"/>
          <w:rFonts w:ascii="仿宋" w:eastAsia="仿宋" w:hAnsi="仿宋" w:hint="eastAsia"/>
          <w:b w:val="0"/>
          <w:bCs/>
          <w:sz w:val="32"/>
          <w:szCs w:val="32"/>
        </w:rPr>
        <w:t>完成预算</w:t>
      </w:r>
      <w:r w:rsidR="00E7310E" w:rsidRPr="00E7310E">
        <w:rPr>
          <w:rStyle w:val="a7"/>
          <w:rFonts w:ascii="仿宋" w:eastAsia="仿宋" w:hAnsi="仿宋" w:hint="eastAsia"/>
          <w:b w:val="0"/>
          <w:bCs/>
          <w:sz w:val="32"/>
          <w:szCs w:val="32"/>
        </w:rPr>
        <w:t>100</w:t>
      </w:r>
      <w:r w:rsidR="006578E0" w:rsidRPr="00E7310E">
        <w:rPr>
          <w:rStyle w:val="a7"/>
          <w:rFonts w:ascii="仿宋" w:eastAsia="仿宋" w:hAnsi="仿宋"/>
          <w:b w:val="0"/>
          <w:bCs/>
          <w:sz w:val="32"/>
          <w:szCs w:val="32"/>
        </w:rPr>
        <w:t>%</w:t>
      </w:r>
      <w:r w:rsidR="006578E0" w:rsidRPr="00E7310E">
        <w:rPr>
          <w:rStyle w:val="a7"/>
          <w:rFonts w:ascii="仿宋" w:eastAsia="仿宋" w:hAnsi="仿宋" w:hint="eastAsia"/>
          <w:b w:val="0"/>
          <w:bCs/>
          <w:sz w:val="32"/>
          <w:szCs w:val="32"/>
        </w:rPr>
        <w:t>，</w:t>
      </w:r>
      <w:r w:rsidR="00E7310E" w:rsidRPr="00E7310E">
        <w:rPr>
          <w:rStyle w:val="a7"/>
          <w:rFonts w:ascii="仿宋" w:eastAsia="仿宋" w:hAnsi="仿宋" w:hint="eastAsia"/>
          <w:b w:val="0"/>
          <w:bCs/>
          <w:sz w:val="32"/>
          <w:szCs w:val="32"/>
        </w:rPr>
        <w:t>与预算持平。</w:t>
      </w:r>
    </w:p>
    <w:p w:rsidR="006578E0" w:rsidRDefault="00CC417B" w:rsidP="00E7310E">
      <w:pPr>
        <w:pStyle w:val="a0"/>
        <w:spacing w:before="93"/>
        <w:ind w:firstLineChars="200" w:firstLine="643"/>
        <w:rPr>
          <w:rStyle w:val="a7"/>
          <w:rFonts w:ascii="仿宋" w:eastAsia="仿宋" w:hAnsi="仿宋"/>
          <w:b w:val="0"/>
          <w:bCs/>
          <w:sz w:val="32"/>
          <w:szCs w:val="32"/>
        </w:rPr>
      </w:pPr>
      <w:r>
        <w:rPr>
          <w:rStyle w:val="a7"/>
          <w:rFonts w:hint="eastAsia"/>
          <w:color w:val="000000"/>
          <w:sz w:val="32"/>
          <w:szCs w:val="32"/>
        </w:rPr>
        <w:t>11</w:t>
      </w:r>
      <w:r w:rsidR="006578E0" w:rsidRPr="00D240CC">
        <w:rPr>
          <w:rStyle w:val="a7"/>
          <w:rFonts w:hint="eastAsia"/>
          <w:color w:val="000000"/>
          <w:sz w:val="32"/>
          <w:szCs w:val="32"/>
        </w:rPr>
        <w:t>.</w:t>
      </w:r>
      <w:r w:rsidR="006578E0" w:rsidRPr="00D240CC">
        <w:rPr>
          <w:rFonts w:hint="eastAsia"/>
        </w:rPr>
        <w:t xml:space="preserve"> </w:t>
      </w:r>
      <w:r w:rsidR="006578E0">
        <w:rPr>
          <w:rFonts w:hint="eastAsia"/>
          <w:b/>
          <w:color w:val="000000" w:themeColor="text1"/>
          <w:sz w:val="32"/>
          <w:szCs w:val="32"/>
        </w:rPr>
        <w:t>其他支出</w:t>
      </w:r>
      <w:r w:rsidR="006578E0" w:rsidRPr="00D240CC">
        <w:rPr>
          <w:rStyle w:val="a7"/>
          <w:rFonts w:hint="eastAsia"/>
          <w:color w:val="000000"/>
          <w:sz w:val="32"/>
          <w:szCs w:val="32"/>
        </w:rPr>
        <w:t>（类）</w:t>
      </w:r>
      <w:r w:rsidR="006578E0">
        <w:rPr>
          <w:rStyle w:val="a7"/>
          <w:rFonts w:hint="eastAsia"/>
          <w:color w:val="000000"/>
          <w:sz w:val="32"/>
          <w:szCs w:val="32"/>
        </w:rPr>
        <w:t>其他支出</w:t>
      </w:r>
      <w:r w:rsidR="006578E0" w:rsidRPr="00D240CC">
        <w:rPr>
          <w:rStyle w:val="a7"/>
          <w:rFonts w:hint="eastAsia"/>
          <w:color w:val="000000"/>
          <w:sz w:val="32"/>
          <w:szCs w:val="32"/>
        </w:rPr>
        <w:t>（款）</w:t>
      </w:r>
      <w:r w:rsidR="006578E0">
        <w:rPr>
          <w:rStyle w:val="a7"/>
          <w:rFonts w:hint="eastAsia"/>
          <w:color w:val="000000"/>
          <w:sz w:val="32"/>
          <w:szCs w:val="32"/>
        </w:rPr>
        <w:t>其他支出</w:t>
      </w:r>
      <w:r w:rsidR="006578E0" w:rsidRPr="00D240CC">
        <w:rPr>
          <w:rStyle w:val="a7"/>
          <w:rFonts w:hint="eastAsia"/>
          <w:color w:val="000000"/>
          <w:sz w:val="32"/>
          <w:szCs w:val="32"/>
        </w:rPr>
        <w:t>（项）</w:t>
      </w:r>
      <w:r w:rsidR="006578E0">
        <w:rPr>
          <w:rStyle w:val="a7"/>
          <w:rFonts w:ascii="仿宋" w:eastAsia="仿宋" w:hAnsi="仿宋"/>
          <w:bCs/>
          <w:sz w:val="32"/>
          <w:szCs w:val="32"/>
        </w:rPr>
        <w:t>:</w:t>
      </w:r>
      <w:r w:rsidR="006578E0">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210</w:t>
      </w:r>
      <w:r w:rsidR="006578E0">
        <w:rPr>
          <w:rStyle w:val="a7"/>
          <w:rFonts w:ascii="仿宋" w:eastAsia="仿宋" w:hAnsi="仿宋" w:hint="eastAsia"/>
          <w:b w:val="0"/>
          <w:bCs/>
          <w:sz w:val="32"/>
          <w:szCs w:val="32"/>
        </w:rPr>
        <w:t>万元，</w:t>
      </w:r>
      <w:r w:rsidR="006578E0" w:rsidRPr="00E7310E">
        <w:rPr>
          <w:rStyle w:val="a7"/>
          <w:rFonts w:ascii="仿宋" w:eastAsia="仿宋" w:hAnsi="仿宋" w:hint="eastAsia"/>
          <w:b w:val="0"/>
          <w:bCs/>
          <w:sz w:val="32"/>
          <w:szCs w:val="32"/>
        </w:rPr>
        <w:t>完成预算100</w:t>
      </w:r>
      <w:r w:rsidR="006578E0" w:rsidRPr="00E7310E">
        <w:rPr>
          <w:rStyle w:val="a7"/>
          <w:rFonts w:ascii="仿宋" w:eastAsia="仿宋" w:hAnsi="仿宋"/>
          <w:b w:val="0"/>
          <w:bCs/>
          <w:sz w:val="32"/>
          <w:szCs w:val="32"/>
        </w:rPr>
        <w:t>%</w:t>
      </w:r>
      <w:r w:rsidR="00306758" w:rsidRPr="00E7310E">
        <w:rPr>
          <w:rStyle w:val="a7"/>
          <w:rFonts w:ascii="仿宋" w:eastAsia="仿宋" w:hAnsi="仿宋" w:hint="eastAsia"/>
          <w:b w:val="0"/>
          <w:bCs/>
          <w:sz w:val="32"/>
          <w:szCs w:val="32"/>
        </w:rPr>
        <w:t>，与预算持平。</w:t>
      </w:r>
    </w:p>
    <w:p w:rsidR="00E6420A" w:rsidRDefault="005360AC">
      <w:pPr>
        <w:tabs>
          <w:tab w:val="right" w:pos="8306"/>
        </w:tabs>
        <w:spacing w:line="600" w:lineRule="exact"/>
        <w:ind w:firstLine="640"/>
        <w:outlineLvl w:val="1"/>
        <w:rPr>
          <w:rStyle w:val="2Char"/>
        </w:rPr>
      </w:pPr>
      <w:bookmarkStart w:id="34" w:name="_Toc15377214"/>
      <w:bookmarkStart w:id="35"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E6420A" w:rsidRDefault="005360AC">
      <w:pPr>
        <w:spacing w:line="600" w:lineRule="exact"/>
        <w:ind w:firstLine="645"/>
        <w:rPr>
          <w:rFonts w:ascii="仿宋" w:eastAsia="仿宋" w:hAnsi="仿宋"/>
          <w:sz w:val="32"/>
          <w:szCs w:val="32"/>
        </w:rPr>
      </w:pPr>
      <w:r>
        <w:rPr>
          <w:rFonts w:ascii="仿宋" w:eastAsia="仿宋" w:hAnsi="仿宋"/>
          <w:sz w:val="32"/>
          <w:szCs w:val="32"/>
        </w:rPr>
        <w:t>20</w:t>
      </w:r>
      <w:r w:rsidR="00CC417B">
        <w:rPr>
          <w:rFonts w:ascii="仿宋" w:eastAsia="仿宋" w:hAnsi="仿宋" w:hint="eastAsia"/>
          <w:sz w:val="32"/>
          <w:szCs w:val="32"/>
        </w:rPr>
        <w:t>21</w:t>
      </w:r>
      <w:r>
        <w:rPr>
          <w:rFonts w:ascii="仿宋" w:eastAsia="仿宋" w:hAnsi="仿宋" w:hint="eastAsia"/>
          <w:sz w:val="32"/>
          <w:szCs w:val="32"/>
        </w:rPr>
        <w:t>年一般公共预算财政拨款基本支出</w:t>
      </w:r>
      <w:r w:rsidR="00CC417B">
        <w:rPr>
          <w:rFonts w:ascii="仿宋" w:eastAsia="仿宋" w:hAnsi="仿宋" w:hint="eastAsia"/>
          <w:sz w:val="32"/>
          <w:szCs w:val="32"/>
        </w:rPr>
        <w:t>3808.31</w:t>
      </w:r>
      <w:r>
        <w:rPr>
          <w:rFonts w:ascii="仿宋" w:eastAsia="仿宋" w:hAnsi="仿宋" w:hint="eastAsia"/>
          <w:sz w:val="32"/>
          <w:szCs w:val="32"/>
        </w:rPr>
        <w:t>万元，其中：</w:t>
      </w:r>
    </w:p>
    <w:p w:rsidR="00E6420A" w:rsidRDefault="005360AC">
      <w:pPr>
        <w:spacing w:line="600" w:lineRule="exact"/>
        <w:ind w:firstLine="645"/>
        <w:rPr>
          <w:rFonts w:ascii="仿宋" w:eastAsia="仿宋" w:hAnsi="仿宋"/>
          <w:sz w:val="32"/>
          <w:szCs w:val="32"/>
        </w:rPr>
      </w:pPr>
      <w:r>
        <w:rPr>
          <w:rFonts w:ascii="仿宋" w:eastAsia="仿宋" w:hAnsi="仿宋" w:hint="eastAsia"/>
          <w:sz w:val="32"/>
          <w:szCs w:val="32"/>
        </w:rPr>
        <w:t>人员经费</w:t>
      </w:r>
      <w:r w:rsidR="00CC417B">
        <w:rPr>
          <w:rFonts w:ascii="仿宋" w:eastAsia="仿宋" w:hAnsi="仿宋" w:hint="eastAsia"/>
          <w:sz w:val="32"/>
          <w:szCs w:val="32"/>
        </w:rPr>
        <w:t>2989.20</w:t>
      </w:r>
      <w:r>
        <w:rPr>
          <w:rFonts w:ascii="仿宋" w:eastAsia="仿宋" w:hAnsi="仿宋" w:hint="eastAsia"/>
          <w:sz w:val="32"/>
          <w:szCs w:val="32"/>
        </w:rPr>
        <w:t>万元，主要包括：基本工资、津贴补贴、奖金、机关事业单位基本养老保险缴费、职业年金缴费、</w:t>
      </w:r>
      <w:r w:rsidR="0042377F">
        <w:rPr>
          <w:rFonts w:ascii="仿宋" w:eastAsia="仿宋" w:hAnsi="仿宋" w:hint="eastAsia"/>
          <w:sz w:val="32"/>
          <w:szCs w:val="32"/>
        </w:rPr>
        <w:t>职工基本医疗保险缴费、公务员医疗补助缴费、</w:t>
      </w:r>
      <w:r w:rsidR="00CC417B">
        <w:rPr>
          <w:rFonts w:ascii="仿宋" w:eastAsia="仿宋" w:hAnsi="仿宋" w:hint="eastAsia"/>
          <w:sz w:val="32"/>
          <w:szCs w:val="32"/>
        </w:rPr>
        <w:t>住房公积金、</w:t>
      </w:r>
      <w:r>
        <w:rPr>
          <w:rFonts w:ascii="仿宋" w:eastAsia="仿宋" w:hAnsi="仿宋" w:hint="eastAsia"/>
          <w:sz w:val="32"/>
          <w:szCs w:val="32"/>
        </w:rPr>
        <w:t>其他工资福利支出、其他对个人和家庭的补助支出等。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CC417B">
        <w:rPr>
          <w:rFonts w:ascii="仿宋" w:eastAsia="仿宋" w:hAnsi="仿宋" w:hint="eastAsia"/>
          <w:sz w:val="32"/>
          <w:szCs w:val="32"/>
        </w:rPr>
        <w:t>819.11</w:t>
      </w:r>
      <w:r>
        <w:rPr>
          <w:rFonts w:ascii="仿宋" w:eastAsia="仿宋" w:hAnsi="仿宋" w:hint="eastAsia"/>
          <w:sz w:val="32"/>
          <w:szCs w:val="32"/>
        </w:rPr>
        <w:t>万元，主要包括：办公费、印刷费、手续费、水费、电费、邮电费、物业管理费、差旅费、维修（护）费、租赁费、会议费、培训费、公务接待费、劳务费、工会经费、福利费、公务</w:t>
      </w:r>
      <w:r w:rsidR="007B3DB2">
        <w:rPr>
          <w:rFonts w:ascii="仿宋" w:eastAsia="仿宋" w:hAnsi="仿宋" w:hint="eastAsia"/>
          <w:sz w:val="32"/>
          <w:szCs w:val="32"/>
        </w:rPr>
        <w:t>用车运行维护费、其他交通费</w:t>
      </w:r>
      <w:r w:rsidR="0042377F">
        <w:rPr>
          <w:rFonts w:ascii="仿宋" w:eastAsia="仿宋" w:hAnsi="仿宋" w:hint="eastAsia"/>
          <w:sz w:val="32"/>
          <w:szCs w:val="32"/>
        </w:rPr>
        <w:t>用</w:t>
      </w:r>
      <w:r w:rsidR="007B3DB2">
        <w:rPr>
          <w:rFonts w:ascii="仿宋" w:eastAsia="仿宋" w:hAnsi="仿宋" w:hint="eastAsia"/>
          <w:sz w:val="32"/>
          <w:szCs w:val="32"/>
        </w:rPr>
        <w:t>、其他商品和服务支出</w:t>
      </w:r>
      <w:r>
        <w:rPr>
          <w:rFonts w:ascii="仿宋" w:eastAsia="仿宋" w:hAnsi="仿宋" w:hint="eastAsia"/>
          <w:sz w:val="32"/>
          <w:szCs w:val="32"/>
        </w:rPr>
        <w:t>等。</w:t>
      </w:r>
    </w:p>
    <w:p w:rsidR="00E6420A" w:rsidRDefault="005360AC">
      <w:pPr>
        <w:spacing w:line="600" w:lineRule="exact"/>
        <w:ind w:firstLine="640"/>
        <w:outlineLvl w:val="1"/>
        <w:rPr>
          <w:rStyle w:val="2Char"/>
          <w:rFonts w:ascii="黑体" w:eastAsia="黑体" w:hAnsi="黑体"/>
          <w:b w:val="0"/>
        </w:rPr>
      </w:pPr>
      <w:bookmarkStart w:id="36" w:name="_Toc15377215"/>
      <w:bookmarkStart w:id="37"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6"/>
      <w:bookmarkEnd w:id="37"/>
    </w:p>
    <w:p w:rsidR="00E6420A" w:rsidRDefault="005360AC">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7B3DB2" w:rsidRDefault="007B3DB2" w:rsidP="007B3DB2">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20</w:t>
      </w:r>
      <w:r w:rsidR="00CC417B">
        <w:rPr>
          <w:rFonts w:ascii="仿宋" w:eastAsia="仿宋" w:hAnsi="仿宋" w:hint="eastAsia"/>
          <w:sz w:val="32"/>
          <w:szCs w:val="32"/>
        </w:rPr>
        <w:t>21</w:t>
      </w:r>
      <w:r>
        <w:rPr>
          <w:rFonts w:ascii="仿宋" w:eastAsia="仿宋" w:hAnsi="仿宋" w:hint="eastAsia"/>
          <w:sz w:val="32"/>
          <w:szCs w:val="32"/>
        </w:rPr>
        <w:t>年“三公”经费财政拨款支出决算为</w:t>
      </w:r>
      <w:r w:rsidR="00937149">
        <w:rPr>
          <w:rFonts w:ascii="仿宋" w:eastAsia="仿宋" w:hAnsi="仿宋" w:hint="eastAsia"/>
          <w:sz w:val="32"/>
          <w:szCs w:val="32"/>
        </w:rPr>
        <w:t>89.16</w:t>
      </w:r>
      <w:r>
        <w:rPr>
          <w:rFonts w:ascii="仿宋" w:eastAsia="仿宋" w:hAnsi="仿宋" w:hint="eastAsia"/>
          <w:sz w:val="32"/>
          <w:szCs w:val="32"/>
        </w:rPr>
        <w:t>万元，</w:t>
      </w:r>
      <w:r w:rsidRPr="008378FE">
        <w:rPr>
          <w:rFonts w:ascii="仿宋" w:eastAsia="仿宋" w:hAnsi="仿宋" w:hint="eastAsia"/>
          <w:sz w:val="32"/>
          <w:szCs w:val="32"/>
        </w:rPr>
        <w:t>完成预算</w:t>
      </w:r>
      <w:r w:rsidR="008378FE" w:rsidRPr="008378FE">
        <w:rPr>
          <w:rFonts w:ascii="仿宋" w:eastAsia="仿宋" w:hAnsi="仿宋" w:hint="eastAsia"/>
          <w:sz w:val="32"/>
          <w:szCs w:val="32"/>
        </w:rPr>
        <w:t>89.61</w:t>
      </w:r>
      <w:r w:rsidRPr="008378FE">
        <w:rPr>
          <w:rFonts w:ascii="仿宋" w:eastAsia="仿宋" w:hAnsi="仿宋"/>
          <w:sz w:val="32"/>
          <w:szCs w:val="32"/>
        </w:rPr>
        <w:t>%</w:t>
      </w:r>
      <w:r w:rsidRPr="008378FE">
        <w:rPr>
          <w:rFonts w:ascii="仿宋" w:eastAsia="仿宋" w:hAnsi="仿宋" w:hint="eastAsia"/>
          <w:sz w:val="32"/>
          <w:szCs w:val="32"/>
        </w:rPr>
        <w:t>，决算数小于预算数的主要原因是坚持厉行</w:t>
      </w:r>
      <w:r w:rsidRPr="008378FE">
        <w:rPr>
          <w:rFonts w:ascii="仿宋" w:eastAsia="仿宋" w:hAnsi="仿宋" w:hint="eastAsia"/>
          <w:sz w:val="32"/>
          <w:szCs w:val="32"/>
        </w:rPr>
        <w:lastRenderedPageBreak/>
        <w:t>节约，持续强化“三公”经费管理</w:t>
      </w:r>
      <w:r w:rsidRPr="00CC7477">
        <w:rPr>
          <w:rFonts w:ascii="仿宋" w:eastAsia="仿宋" w:hAnsi="仿宋" w:hint="eastAsia"/>
          <w:sz w:val="32"/>
          <w:szCs w:val="32"/>
        </w:rPr>
        <w:t>。</w:t>
      </w:r>
    </w:p>
    <w:p w:rsidR="00E6420A" w:rsidRDefault="005360AC">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E6420A" w:rsidRDefault="005360A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937149">
        <w:rPr>
          <w:rFonts w:ascii="仿宋" w:eastAsia="仿宋" w:hAnsi="仿宋" w:hint="eastAsia"/>
          <w:sz w:val="32"/>
          <w:szCs w:val="32"/>
        </w:rPr>
        <w:t>1</w:t>
      </w:r>
      <w:r>
        <w:rPr>
          <w:rFonts w:ascii="仿宋" w:eastAsia="仿宋" w:hAnsi="仿宋" w:hint="eastAsia"/>
          <w:sz w:val="32"/>
          <w:szCs w:val="32"/>
        </w:rPr>
        <w:t>年“三公”经费财政拨款支出决算中，因公出国（境）费支出决算</w:t>
      </w:r>
      <w:r w:rsidR="00FE3A08">
        <w:rPr>
          <w:rFonts w:ascii="仿宋" w:eastAsia="仿宋" w:hAnsi="仿宋" w:hint="eastAsia"/>
          <w:sz w:val="32"/>
          <w:szCs w:val="32"/>
        </w:rPr>
        <w:t>0</w:t>
      </w:r>
      <w:r>
        <w:rPr>
          <w:rFonts w:ascii="仿宋" w:eastAsia="仿宋" w:hAnsi="仿宋" w:hint="eastAsia"/>
          <w:sz w:val="32"/>
          <w:szCs w:val="32"/>
        </w:rPr>
        <w:t>万元，占</w:t>
      </w:r>
      <w:r w:rsidR="00FE3A08">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937149">
        <w:rPr>
          <w:rFonts w:ascii="仿宋" w:eastAsia="仿宋" w:hAnsi="仿宋" w:hint="eastAsia"/>
          <w:sz w:val="32"/>
          <w:szCs w:val="32"/>
        </w:rPr>
        <w:t>88.32</w:t>
      </w:r>
      <w:r>
        <w:rPr>
          <w:rFonts w:ascii="仿宋" w:eastAsia="仿宋" w:hAnsi="仿宋" w:hint="eastAsia"/>
          <w:sz w:val="32"/>
          <w:szCs w:val="32"/>
        </w:rPr>
        <w:t>万元，占</w:t>
      </w:r>
      <w:r w:rsidR="007B3DB2">
        <w:rPr>
          <w:rFonts w:ascii="仿宋" w:eastAsia="仿宋" w:hAnsi="仿宋" w:hint="eastAsia"/>
          <w:sz w:val="32"/>
          <w:szCs w:val="32"/>
        </w:rPr>
        <w:t>99</w:t>
      </w:r>
      <w:r w:rsidR="00937149">
        <w:rPr>
          <w:rFonts w:ascii="仿宋" w:eastAsia="仿宋" w:hAnsi="仿宋" w:hint="eastAsia"/>
          <w:sz w:val="32"/>
          <w:szCs w:val="32"/>
        </w:rPr>
        <w:t>.06</w:t>
      </w:r>
      <w:r>
        <w:rPr>
          <w:rFonts w:ascii="仿宋" w:eastAsia="仿宋" w:hAnsi="仿宋"/>
          <w:sz w:val="32"/>
          <w:szCs w:val="32"/>
        </w:rPr>
        <w:t>%</w:t>
      </w:r>
      <w:r>
        <w:rPr>
          <w:rFonts w:ascii="仿宋" w:eastAsia="仿宋" w:hAnsi="仿宋" w:hint="eastAsia"/>
          <w:sz w:val="32"/>
          <w:szCs w:val="32"/>
        </w:rPr>
        <w:t>；公务接待费支出决算</w:t>
      </w:r>
      <w:r w:rsidR="00937149">
        <w:rPr>
          <w:rFonts w:ascii="仿宋" w:eastAsia="仿宋" w:hAnsi="仿宋" w:hint="eastAsia"/>
          <w:sz w:val="32"/>
          <w:szCs w:val="32"/>
        </w:rPr>
        <w:t>0.84</w:t>
      </w:r>
      <w:r>
        <w:rPr>
          <w:rFonts w:ascii="仿宋" w:eastAsia="仿宋" w:hAnsi="仿宋" w:hint="eastAsia"/>
          <w:sz w:val="32"/>
          <w:szCs w:val="32"/>
        </w:rPr>
        <w:t>万元，占</w:t>
      </w:r>
      <w:r w:rsidR="00937149">
        <w:rPr>
          <w:rFonts w:ascii="仿宋" w:eastAsia="仿宋" w:hAnsi="仿宋" w:hint="eastAsia"/>
          <w:sz w:val="32"/>
          <w:szCs w:val="32"/>
        </w:rPr>
        <w:t>0.94</w:t>
      </w:r>
      <w:r>
        <w:rPr>
          <w:rFonts w:ascii="仿宋" w:eastAsia="仿宋" w:hAnsi="仿宋"/>
          <w:sz w:val="32"/>
          <w:szCs w:val="32"/>
        </w:rPr>
        <w:t>%</w:t>
      </w:r>
      <w:r>
        <w:rPr>
          <w:rFonts w:ascii="仿宋" w:eastAsia="仿宋" w:hAnsi="仿宋" w:hint="eastAsia"/>
          <w:sz w:val="32"/>
          <w:szCs w:val="32"/>
        </w:rPr>
        <w:t>。具体情况如下：</w:t>
      </w:r>
    </w:p>
    <w:p w:rsidR="00726A56" w:rsidRPr="00726A56" w:rsidRDefault="00726A56" w:rsidP="00726A56">
      <w:pPr>
        <w:pStyle w:val="a0"/>
        <w:spacing w:before="93"/>
      </w:pPr>
      <w:r w:rsidRPr="00726A56">
        <w:rPr>
          <w:noProof/>
        </w:rPr>
        <w:drawing>
          <wp:inline distT="0" distB="0" distL="0" distR="0">
            <wp:extent cx="3736975" cy="2186305"/>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6420A" w:rsidRDefault="005360AC">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2C0280" w:rsidRDefault="005360AC" w:rsidP="002C0280">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FE3A08" w:rsidRPr="00136B21">
        <w:rPr>
          <w:rFonts w:ascii="仿宋_GB2312" w:eastAsia="仿宋_GB2312" w:hint="eastAsia"/>
          <w:sz w:val="32"/>
          <w:szCs w:val="32"/>
        </w:rPr>
        <w:t>0</w:t>
      </w:r>
      <w:r w:rsidRPr="00136B21">
        <w:rPr>
          <w:rFonts w:ascii="仿宋_GB2312" w:eastAsia="仿宋_GB2312" w:hint="eastAsia"/>
          <w:sz w:val="32"/>
          <w:szCs w:val="32"/>
        </w:rPr>
        <w:t>万元，</w:t>
      </w:r>
      <w:r w:rsidRPr="00136B21">
        <w:rPr>
          <w:rStyle w:val="a7"/>
          <w:rFonts w:ascii="仿宋_GB2312" w:eastAsia="仿宋_GB2312" w:hAnsi="仿宋" w:hint="eastAsia"/>
          <w:b w:val="0"/>
          <w:bCs/>
          <w:sz w:val="32"/>
          <w:szCs w:val="32"/>
        </w:rPr>
        <w:t>完成预算</w:t>
      </w:r>
      <w:r w:rsidR="00FE3A08" w:rsidRPr="00136B21">
        <w:rPr>
          <w:rStyle w:val="a7"/>
          <w:rFonts w:ascii="仿宋_GB2312" w:eastAsia="仿宋_GB2312" w:hAnsi="仿宋" w:hint="eastAsia"/>
          <w:b w:val="0"/>
          <w:bCs/>
          <w:sz w:val="32"/>
          <w:szCs w:val="32"/>
        </w:rPr>
        <w:t>0</w:t>
      </w:r>
      <w:r w:rsidRPr="00136B21">
        <w:rPr>
          <w:rStyle w:val="a7"/>
          <w:rFonts w:ascii="仿宋_GB2312" w:eastAsia="仿宋_GB2312" w:hAnsi="仿宋" w:hint="eastAsia"/>
          <w:b w:val="0"/>
          <w:bCs/>
          <w:sz w:val="32"/>
          <w:szCs w:val="32"/>
        </w:rPr>
        <w:t>%。</w:t>
      </w:r>
      <w:r w:rsidRPr="00136B21">
        <w:rPr>
          <w:rFonts w:ascii="仿宋_GB2312" w:eastAsia="仿宋_GB2312" w:hint="eastAsia"/>
          <w:sz w:val="32"/>
          <w:szCs w:val="32"/>
        </w:rPr>
        <w:t>全年安排因公出国（境）团组</w:t>
      </w:r>
      <w:r w:rsidR="00FE3A08" w:rsidRPr="00136B21">
        <w:rPr>
          <w:rFonts w:ascii="仿宋_GB2312" w:eastAsia="仿宋_GB2312" w:hint="eastAsia"/>
          <w:sz w:val="32"/>
          <w:szCs w:val="32"/>
        </w:rPr>
        <w:t>0</w:t>
      </w:r>
      <w:r w:rsidRPr="00136B21">
        <w:rPr>
          <w:rFonts w:ascii="仿宋_GB2312" w:eastAsia="仿宋_GB2312" w:hint="eastAsia"/>
          <w:sz w:val="32"/>
          <w:szCs w:val="32"/>
        </w:rPr>
        <w:t>次，出国（境）</w:t>
      </w:r>
      <w:r w:rsidR="00FE3A08" w:rsidRPr="00136B21">
        <w:rPr>
          <w:rFonts w:ascii="仿宋_GB2312" w:eastAsia="仿宋_GB2312" w:hint="eastAsia"/>
          <w:sz w:val="32"/>
          <w:szCs w:val="32"/>
        </w:rPr>
        <w:t>0</w:t>
      </w:r>
      <w:r w:rsidRPr="00136B21">
        <w:rPr>
          <w:rFonts w:ascii="仿宋_GB2312" w:eastAsia="仿宋_GB2312" w:hint="eastAsia"/>
          <w:sz w:val="32"/>
          <w:szCs w:val="32"/>
        </w:rPr>
        <w:t>人。</w:t>
      </w:r>
      <w:r w:rsidR="00937149" w:rsidRPr="00136B21">
        <w:rPr>
          <w:rFonts w:ascii="仿宋_GB2312" w:eastAsia="仿宋_GB2312" w:hAnsi="仿宋" w:hint="eastAsia"/>
          <w:sz w:val="32"/>
          <w:szCs w:val="32"/>
        </w:rPr>
        <w:t>与2020年</w:t>
      </w:r>
      <w:r w:rsidR="00937149">
        <w:rPr>
          <w:rFonts w:ascii="仿宋" w:eastAsia="仿宋" w:hAnsi="仿宋" w:hint="eastAsia"/>
          <w:sz w:val="32"/>
          <w:szCs w:val="32"/>
        </w:rPr>
        <w:t>持平</w:t>
      </w:r>
      <w:r w:rsidR="00867BB8" w:rsidRPr="00233EB6">
        <w:rPr>
          <w:rFonts w:ascii="仿宋_GB2312" w:eastAsia="仿宋_GB2312" w:hAnsi="Tahoma" w:cs="Tahoma" w:hint="eastAsia"/>
          <w:kern w:val="0"/>
          <w:sz w:val="32"/>
          <w:szCs w:val="32"/>
        </w:rPr>
        <w:t>。</w:t>
      </w:r>
      <w:r w:rsidR="00867BB8">
        <w:rPr>
          <w:rFonts w:ascii="仿宋_GB2312" w:eastAsia="仿宋_GB2312" w:hAnsi="Tahoma" w:cs="Tahoma" w:hint="eastAsia"/>
          <w:kern w:val="0"/>
          <w:sz w:val="32"/>
          <w:szCs w:val="32"/>
        </w:rPr>
        <w:t>主要原因是2021年未</w:t>
      </w:r>
      <w:r w:rsidR="00867BB8" w:rsidRPr="00867BB8">
        <w:rPr>
          <w:rFonts w:ascii="仿宋_GB2312" w:eastAsia="仿宋_GB2312" w:hAnsi="Tahoma" w:cs="Tahoma" w:hint="eastAsia"/>
          <w:kern w:val="0"/>
          <w:sz w:val="32"/>
          <w:szCs w:val="32"/>
        </w:rPr>
        <w:t>安排出国（境）任务和</w:t>
      </w:r>
      <w:r w:rsidR="00867BB8">
        <w:rPr>
          <w:rFonts w:ascii="仿宋_GB2312" w:eastAsia="仿宋_GB2312" w:hAnsi="Tahoma" w:cs="Tahoma" w:hint="eastAsia"/>
          <w:kern w:val="0"/>
          <w:sz w:val="32"/>
          <w:szCs w:val="32"/>
        </w:rPr>
        <w:t>工作计划</w:t>
      </w:r>
      <w:r w:rsidR="00136B21">
        <w:rPr>
          <w:rFonts w:ascii="仿宋_GB2312" w:eastAsia="仿宋_GB2312" w:hAnsi="Tahoma" w:cs="Tahoma" w:hint="eastAsia"/>
          <w:kern w:val="0"/>
          <w:sz w:val="32"/>
          <w:szCs w:val="32"/>
        </w:rPr>
        <w:t>，开支内容无</w:t>
      </w:r>
      <w:r w:rsidR="00867BB8">
        <w:rPr>
          <w:rFonts w:ascii="仿宋_GB2312" w:eastAsia="仿宋_GB2312" w:hAnsi="Tahoma" w:cs="Tahoma" w:hint="eastAsia"/>
          <w:kern w:val="0"/>
          <w:sz w:val="32"/>
          <w:szCs w:val="32"/>
        </w:rPr>
        <w:t>。</w:t>
      </w:r>
    </w:p>
    <w:p w:rsidR="008378FE" w:rsidRDefault="005360AC" w:rsidP="008378FE">
      <w:pPr>
        <w:spacing w:line="600" w:lineRule="exact"/>
        <w:ind w:firstLine="640"/>
        <w:rPr>
          <w:rFonts w:ascii="仿宋_GB2312" w:eastAsia="仿宋_GB2312" w:hAnsi="Tahoma" w:cs="Tahoma"/>
          <w:kern w:val="0"/>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937149">
        <w:rPr>
          <w:rFonts w:ascii="仿宋_GB2312" w:eastAsia="仿宋_GB2312" w:hint="eastAsia"/>
          <w:sz w:val="32"/>
          <w:szCs w:val="32"/>
        </w:rPr>
        <w:t>88.32</w:t>
      </w:r>
      <w:r>
        <w:rPr>
          <w:rFonts w:ascii="仿宋_GB2312" w:eastAsia="仿宋_GB2312" w:hint="eastAsia"/>
          <w:sz w:val="32"/>
          <w:szCs w:val="32"/>
        </w:rPr>
        <w:t>万元,</w:t>
      </w:r>
      <w:r w:rsidRPr="008378FE">
        <w:rPr>
          <w:rStyle w:val="a7"/>
          <w:rFonts w:ascii="仿宋" w:eastAsia="仿宋" w:hAnsi="仿宋" w:hint="eastAsia"/>
          <w:b w:val="0"/>
          <w:bCs/>
          <w:sz w:val="32"/>
          <w:szCs w:val="32"/>
        </w:rPr>
        <w:t>完成预算</w:t>
      </w:r>
      <w:r w:rsidR="00D2755A" w:rsidRPr="008378FE">
        <w:rPr>
          <w:rStyle w:val="a7"/>
          <w:rFonts w:ascii="仿宋" w:eastAsia="仿宋" w:hAnsi="仿宋" w:hint="eastAsia"/>
          <w:b w:val="0"/>
          <w:bCs/>
          <w:sz w:val="32"/>
          <w:szCs w:val="32"/>
        </w:rPr>
        <w:t>99.</w:t>
      </w:r>
      <w:r w:rsidR="008378FE" w:rsidRPr="008378FE">
        <w:rPr>
          <w:rStyle w:val="a7"/>
          <w:rFonts w:ascii="仿宋" w:eastAsia="仿宋" w:hAnsi="仿宋" w:hint="eastAsia"/>
          <w:b w:val="0"/>
          <w:bCs/>
          <w:sz w:val="32"/>
          <w:szCs w:val="32"/>
        </w:rPr>
        <w:t>79</w:t>
      </w:r>
      <w:r w:rsidRPr="008378FE">
        <w:rPr>
          <w:rStyle w:val="a7"/>
          <w:rFonts w:ascii="仿宋" w:eastAsia="仿宋" w:hAnsi="仿宋"/>
          <w:b w:val="0"/>
          <w:bCs/>
          <w:sz w:val="32"/>
          <w:szCs w:val="32"/>
        </w:rPr>
        <w:t>%</w:t>
      </w:r>
      <w:r>
        <w:rPr>
          <w:rStyle w:val="a7"/>
          <w:rFonts w:ascii="仿宋" w:eastAsia="仿宋" w:hAnsi="仿宋" w:hint="eastAsia"/>
          <w:b w:val="0"/>
          <w:bCs/>
          <w:sz w:val="32"/>
          <w:szCs w:val="32"/>
        </w:rPr>
        <w:t>。</w:t>
      </w:r>
      <w:r w:rsidR="00D2755A">
        <w:rPr>
          <w:rFonts w:ascii="仿宋_GB2312" w:eastAsia="仿宋_GB2312" w:hint="eastAsia"/>
          <w:sz w:val="32"/>
          <w:szCs w:val="32"/>
        </w:rPr>
        <w:t>公务用车购置及运行维护费支出决算比</w:t>
      </w:r>
      <w:r w:rsidR="00937149">
        <w:rPr>
          <w:rFonts w:ascii="仿宋_GB2312" w:eastAsia="仿宋_GB2312" w:hint="eastAsia"/>
          <w:sz w:val="32"/>
          <w:szCs w:val="32"/>
        </w:rPr>
        <w:t>2020年增加17.34</w:t>
      </w:r>
      <w:r w:rsidR="00D2755A">
        <w:rPr>
          <w:rFonts w:ascii="仿宋_GB2312" w:eastAsia="仿宋_GB2312" w:hint="eastAsia"/>
          <w:sz w:val="32"/>
          <w:szCs w:val="32"/>
        </w:rPr>
        <w:t>万元，</w:t>
      </w:r>
      <w:r w:rsidR="00937149">
        <w:rPr>
          <w:rFonts w:ascii="仿宋_GB2312" w:eastAsia="仿宋_GB2312" w:hint="eastAsia"/>
          <w:sz w:val="32"/>
          <w:szCs w:val="32"/>
        </w:rPr>
        <w:t>增长24.43%</w:t>
      </w:r>
      <w:r w:rsidR="00D2755A">
        <w:rPr>
          <w:rFonts w:ascii="仿宋_GB2312" w:eastAsia="仿宋_GB2312" w:hint="eastAsia"/>
          <w:sz w:val="32"/>
          <w:szCs w:val="32"/>
        </w:rPr>
        <w:t>。</w:t>
      </w:r>
      <w:r w:rsidR="00D2755A" w:rsidRPr="008378FE">
        <w:rPr>
          <w:rFonts w:ascii="仿宋_GB2312" w:eastAsia="仿宋_GB2312" w:hAnsi="Tahoma" w:cs="Tahoma" w:hint="eastAsia"/>
          <w:kern w:val="0"/>
          <w:sz w:val="32"/>
          <w:szCs w:val="32"/>
        </w:rPr>
        <w:t>主要原因是</w:t>
      </w:r>
      <w:r w:rsidR="008378FE">
        <w:rPr>
          <w:rFonts w:ascii="仿宋_GB2312" w:eastAsia="仿宋_GB2312" w:hint="eastAsia"/>
          <w:sz w:val="32"/>
          <w:szCs w:val="32"/>
        </w:rPr>
        <w:t>2021年</w:t>
      </w:r>
      <w:r w:rsidR="008378FE" w:rsidRPr="00233EB6">
        <w:rPr>
          <w:rFonts w:ascii="仿宋_GB2312" w:eastAsia="仿宋_GB2312" w:hAnsi="Tahoma" w:cs="Tahoma" w:hint="eastAsia"/>
          <w:kern w:val="0"/>
          <w:sz w:val="32"/>
          <w:szCs w:val="32"/>
        </w:rPr>
        <w:t>新增3辆调研用车，导致经费增加。</w:t>
      </w:r>
    </w:p>
    <w:p w:rsidR="00E6420A" w:rsidRDefault="005360AC" w:rsidP="008378FE">
      <w:pPr>
        <w:spacing w:line="600" w:lineRule="exact"/>
        <w:ind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FE3A08">
        <w:rPr>
          <w:rFonts w:ascii="仿宋_GB2312" w:eastAsia="仿宋_GB2312" w:hint="eastAsia"/>
          <w:sz w:val="32"/>
          <w:szCs w:val="32"/>
        </w:rPr>
        <w:t>0</w:t>
      </w:r>
      <w:r>
        <w:rPr>
          <w:rFonts w:ascii="仿宋_GB2312" w:eastAsia="仿宋_GB2312" w:hint="eastAsia"/>
          <w:sz w:val="32"/>
          <w:szCs w:val="32"/>
        </w:rPr>
        <w:t>万元。全年按规定更新购置</w:t>
      </w:r>
      <w:r>
        <w:rPr>
          <w:rFonts w:ascii="仿宋_GB2312" w:eastAsia="仿宋_GB2312" w:hint="eastAsia"/>
          <w:sz w:val="32"/>
          <w:szCs w:val="32"/>
        </w:rPr>
        <w:lastRenderedPageBreak/>
        <w:t>公务用车</w:t>
      </w:r>
      <w:r w:rsidR="00FE3A08">
        <w:rPr>
          <w:rFonts w:ascii="仿宋_GB2312" w:eastAsia="仿宋_GB2312" w:hint="eastAsia"/>
          <w:sz w:val="32"/>
          <w:szCs w:val="32"/>
        </w:rPr>
        <w:t>0</w:t>
      </w:r>
      <w:r>
        <w:rPr>
          <w:rFonts w:ascii="仿宋_GB2312" w:eastAsia="仿宋_GB2312" w:hint="eastAsia"/>
          <w:sz w:val="32"/>
          <w:szCs w:val="32"/>
        </w:rPr>
        <w:t>辆，其中：轿车</w:t>
      </w:r>
      <w:r w:rsidR="00FE3A08">
        <w:rPr>
          <w:rFonts w:ascii="仿宋_GB2312" w:eastAsia="仿宋_GB2312" w:hint="eastAsia"/>
          <w:sz w:val="32"/>
          <w:szCs w:val="32"/>
        </w:rPr>
        <w:t>0</w:t>
      </w:r>
      <w:r>
        <w:rPr>
          <w:rFonts w:ascii="仿宋_GB2312" w:eastAsia="仿宋_GB2312" w:hint="eastAsia"/>
          <w:sz w:val="32"/>
          <w:szCs w:val="32"/>
        </w:rPr>
        <w:t>辆、金额</w:t>
      </w:r>
      <w:r w:rsidR="00FE3A08">
        <w:rPr>
          <w:rFonts w:ascii="仿宋_GB2312" w:eastAsia="仿宋_GB2312" w:hint="eastAsia"/>
          <w:sz w:val="32"/>
          <w:szCs w:val="32"/>
        </w:rPr>
        <w:t>0</w:t>
      </w:r>
      <w:r>
        <w:rPr>
          <w:rFonts w:ascii="仿宋_GB2312" w:eastAsia="仿宋_GB2312" w:hint="eastAsia"/>
          <w:sz w:val="32"/>
          <w:szCs w:val="32"/>
        </w:rPr>
        <w:t>万元，越野车</w:t>
      </w:r>
      <w:r w:rsidR="00FE3A08">
        <w:rPr>
          <w:rFonts w:ascii="仿宋_GB2312" w:eastAsia="仿宋_GB2312" w:hint="eastAsia"/>
          <w:sz w:val="32"/>
          <w:szCs w:val="32"/>
        </w:rPr>
        <w:t>0</w:t>
      </w:r>
      <w:r>
        <w:rPr>
          <w:rFonts w:ascii="仿宋_GB2312" w:eastAsia="仿宋_GB2312" w:hint="eastAsia"/>
          <w:sz w:val="32"/>
          <w:szCs w:val="32"/>
        </w:rPr>
        <w:t>辆、金额</w:t>
      </w:r>
      <w:r w:rsidR="00FE3A08">
        <w:rPr>
          <w:rFonts w:ascii="仿宋_GB2312" w:eastAsia="仿宋_GB2312" w:hint="eastAsia"/>
          <w:sz w:val="32"/>
          <w:szCs w:val="32"/>
        </w:rPr>
        <w:t>0</w:t>
      </w:r>
      <w:r>
        <w:rPr>
          <w:rFonts w:ascii="仿宋_GB2312" w:eastAsia="仿宋_GB2312" w:hint="eastAsia"/>
          <w:sz w:val="32"/>
          <w:szCs w:val="32"/>
        </w:rPr>
        <w:t>万元，载客汽车</w:t>
      </w:r>
      <w:r w:rsidR="00FE3A08">
        <w:rPr>
          <w:rFonts w:ascii="仿宋_GB2312" w:eastAsia="仿宋_GB2312" w:hint="eastAsia"/>
          <w:sz w:val="32"/>
          <w:szCs w:val="32"/>
        </w:rPr>
        <w:t>0</w:t>
      </w:r>
      <w:r>
        <w:rPr>
          <w:rFonts w:ascii="仿宋_GB2312" w:eastAsia="仿宋_GB2312" w:hint="eastAsia"/>
          <w:sz w:val="32"/>
          <w:szCs w:val="32"/>
        </w:rPr>
        <w:t>辆、金额</w:t>
      </w:r>
      <w:r w:rsidR="00FE3A08">
        <w:rPr>
          <w:rFonts w:ascii="仿宋_GB2312" w:eastAsia="仿宋_GB2312" w:hint="eastAsia"/>
          <w:sz w:val="32"/>
          <w:szCs w:val="32"/>
        </w:rPr>
        <w:t>0万元</w:t>
      </w:r>
      <w:r>
        <w:rPr>
          <w:rFonts w:ascii="仿宋_GB2312" w:eastAsia="仿宋_GB2312" w:hint="eastAsia"/>
          <w:sz w:val="32"/>
          <w:szCs w:val="32"/>
        </w:rPr>
        <w:t>。截至</w:t>
      </w:r>
      <w:r>
        <w:rPr>
          <w:rFonts w:ascii="仿宋_GB2312" w:eastAsia="仿宋_GB2312"/>
          <w:sz w:val="32"/>
          <w:szCs w:val="32"/>
        </w:rPr>
        <w:t>20</w:t>
      </w:r>
      <w:r w:rsidR="00937149">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月底，单位共有公务用车</w:t>
      </w:r>
      <w:r w:rsidR="00717484">
        <w:rPr>
          <w:rFonts w:ascii="仿宋_GB2312" w:eastAsia="仿宋_GB2312" w:hint="eastAsia"/>
          <w:sz w:val="32"/>
          <w:szCs w:val="32"/>
        </w:rPr>
        <w:t>14</w:t>
      </w:r>
      <w:r>
        <w:rPr>
          <w:rFonts w:ascii="仿宋_GB2312" w:eastAsia="仿宋_GB2312" w:hint="eastAsia"/>
          <w:sz w:val="32"/>
          <w:szCs w:val="32"/>
        </w:rPr>
        <w:t>辆，其中：轿车</w:t>
      </w:r>
      <w:r w:rsidR="00717484">
        <w:rPr>
          <w:rFonts w:ascii="仿宋_GB2312" w:eastAsia="仿宋_GB2312" w:hint="eastAsia"/>
          <w:sz w:val="32"/>
          <w:szCs w:val="32"/>
        </w:rPr>
        <w:t>8</w:t>
      </w:r>
      <w:r>
        <w:rPr>
          <w:rFonts w:ascii="仿宋_GB2312" w:eastAsia="仿宋_GB2312" w:hint="eastAsia"/>
          <w:sz w:val="32"/>
          <w:szCs w:val="32"/>
        </w:rPr>
        <w:t>辆、越野车</w:t>
      </w:r>
      <w:r w:rsidR="00717484">
        <w:rPr>
          <w:rFonts w:ascii="仿宋_GB2312" w:eastAsia="仿宋_GB2312" w:hint="eastAsia"/>
          <w:sz w:val="32"/>
          <w:szCs w:val="32"/>
        </w:rPr>
        <w:t>4</w:t>
      </w:r>
      <w:r>
        <w:rPr>
          <w:rFonts w:ascii="仿宋_GB2312" w:eastAsia="仿宋_GB2312" w:hint="eastAsia"/>
          <w:sz w:val="32"/>
          <w:szCs w:val="32"/>
        </w:rPr>
        <w:t>辆、载客汽车</w:t>
      </w:r>
      <w:r w:rsidR="00717484">
        <w:rPr>
          <w:rFonts w:ascii="仿宋_GB2312" w:eastAsia="仿宋_GB2312" w:hint="eastAsia"/>
          <w:sz w:val="32"/>
          <w:szCs w:val="32"/>
        </w:rPr>
        <w:t>2</w:t>
      </w:r>
      <w:r>
        <w:rPr>
          <w:rFonts w:ascii="仿宋_GB2312" w:eastAsia="仿宋_GB2312" w:hint="eastAsia"/>
          <w:sz w:val="32"/>
          <w:szCs w:val="32"/>
        </w:rPr>
        <w:t>辆。</w:t>
      </w:r>
    </w:p>
    <w:p w:rsidR="002C0280" w:rsidRDefault="005360AC" w:rsidP="002C028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937149">
        <w:rPr>
          <w:rFonts w:ascii="仿宋_GB2312" w:eastAsia="仿宋_GB2312" w:hint="eastAsia"/>
          <w:sz w:val="32"/>
          <w:szCs w:val="32"/>
        </w:rPr>
        <w:t>88.32</w:t>
      </w:r>
      <w:r>
        <w:rPr>
          <w:rFonts w:ascii="仿宋_GB2312" w:eastAsia="仿宋_GB2312" w:hint="eastAsia"/>
          <w:sz w:val="32"/>
          <w:szCs w:val="32"/>
        </w:rPr>
        <w:t>万元。</w:t>
      </w:r>
      <w:r w:rsidR="002C0280">
        <w:rPr>
          <w:rFonts w:ascii="仿宋_GB2312" w:eastAsia="仿宋_GB2312" w:hint="eastAsia"/>
          <w:sz w:val="32"/>
          <w:szCs w:val="32"/>
        </w:rPr>
        <w:t>主要用于保障</w:t>
      </w:r>
      <w:r w:rsidR="002C0280" w:rsidRPr="00C821E8">
        <w:rPr>
          <w:rFonts w:ascii="仿宋_GB2312" w:eastAsia="仿宋_GB2312" w:hAnsi="宋体" w:cs="仿宋_GB2312" w:hint="eastAsia"/>
          <w:color w:val="333333"/>
          <w:kern w:val="0"/>
          <w:sz w:val="32"/>
          <w:szCs w:val="32"/>
        </w:rPr>
        <w:t>1</w:t>
      </w:r>
      <w:r w:rsidR="002C0280">
        <w:rPr>
          <w:rFonts w:ascii="仿宋_GB2312" w:eastAsia="仿宋_GB2312" w:hAnsi="宋体" w:cs="仿宋_GB2312" w:hint="eastAsia"/>
          <w:color w:val="333333"/>
          <w:kern w:val="0"/>
          <w:sz w:val="32"/>
          <w:szCs w:val="32"/>
        </w:rPr>
        <w:t>4</w:t>
      </w:r>
      <w:r w:rsidR="002C0280" w:rsidRPr="00C821E8">
        <w:rPr>
          <w:rFonts w:ascii="仿宋_GB2312" w:eastAsia="仿宋_GB2312" w:hAnsi="宋体" w:cs="仿宋_GB2312" w:hint="eastAsia"/>
          <w:color w:val="333333"/>
          <w:kern w:val="0"/>
          <w:sz w:val="32"/>
          <w:szCs w:val="32"/>
        </w:rPr>
        <w:t>台公务用车</w:t>
      </w:r>
      <w:proofErr w:type="gramStart"/>
      <w:r w:rsidR="002C0280">
        <w:rPr>
          <w:rFonts w:ascii="仿宋_GB2312" w:eastAsia="仿宋_GB2312" w:hAnsi="宋体" w:cs="仿宋_GB2312" w:hint="eastAsia"/>
          <w:color w:val="333333"/>
          <w:kern w:val="0"/>
          <w:sz w:val="32"/>
          <w:szCs w:val="32"/>
        </w:rPr>
        <w:t>执行</w:t>
      </w:r>
      <w:r w:rsidR="002C0280" w:rsidRPr="00C821E8">
        <w:rPr>
          <w:rFonts w:ascii="仿宋_GB2312" w:eastAsia="仿宋_GB2312" w:hAnsi="宋体" w:cs="仿宋_GB2312" w:hint="eastAsia"/>
          <w:color w:val="333333"/>
          <w:kern w:val="0"/>
          <w:sz w:val="32"/>
          <w:szCs w:val="32"/>
        </w:rPr>
        <w:t>维稳应急</w:t>
      </w:r>
      <w:proofErr w:type="gramEnd"/>
      <w:r w:rsidR="002C0280" w:rsidRPr="00C821E8">
        <w:rPr>
          <w:rFonts w:ascii="仿宋_GB2312" w:eastAsia="仿宋_GB2312" w:hAnsi="宋体" w:cs="仿宋_GB2312" w:hint="eastAsia"/>
          <w:color w:val="333333"/>
          <w:kern w:val="0"/>
          <w:sz w:val="32"/>
          <w:szCs w:val="32"/>
        </w:rPr>
        <w:t>、调研督导</w:t>
      </w:r>
      <w:r w:rsidR="002C0280">
        <w:rPr>
          <w:rFonts w:ascii="仿宋_GB2312" w:eastAsia="仿宋_GB2312" w:hAnsi="宋体" w:cs="仿宋_GB2312" w:hint="eastAsia"/>
          <w:color w:val="333333"/>
          <w:kern w:val="0"/>
          <w:sz w:val="32"/>
          <w:szCs w:val="32"/>
        </w:rPr>
        <w:t>、机要交换</w:t>
      </w:r>
      <w:r w:rsidR="002C0280">
        <w:rPr>
          <w:rFonts w:ascii="仿宋_GB2312" w:eastAsia="仿宋_GB2312" w:hint="eastAsia"/>
          <w:sz w:val="32"/>
          <w:szCs w:val="32"/>
        </w:rPr>
        <w:t>等任务所需的燃料、维修、过路过桥、保险等支出。</w:t>
      </w:r>
    </w:p>
    <w:p w:rsidR="00E6420A" w:rsidRDefault="005360AC">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937149">
        <w:rPr>
          <w:rFonts w:ascii="仿宋_GB2312" w:eastAsia="仿宋_GB2312" w:hint="eastAsia"/>
          <w:b/>
          <w:sz w:val="32"/>
          <w:szCs w:val="32"/>
        </w:rPr>
        <w:t>0.84</w:t>
      </w:r>
      <w:r>
        <w:rPr>
          <w:rFonts w:ascii="仿宋_GB2312" w:eastAsia="仿宋_GB2312" w:hint="eastAsia"/>
          <w:sz w:val="32"/>
          <w:szCs w:val="32"/>
        </w:rPr>
        <w:t>万元，</w:t>
      </w:r>
      <w:r w:rsidRPr="008378FE">
        <w:rPr>
          <w:rStyle w:val="a7"/>
          <w:rFonts w:ascii="仿宋" w:eastAsia="仿宋" w:hAnsi="仿宋" w:hint="eastAsia"/>
          <w:b w:val="0"/>
          <w:bCs/>
          <w:sz w:val="32"/>
          <w:szCs w:val="32"/>
        </w:rPr>
        <w:t>完成预算</w:t>
      </w:r>
      <w:r w:rsidR="008378FE" w:rsidRPr="008378FE">
        <w:rPr>
          <w:rStyle w:val="a7"/>
          <w:rFonts w:ascii="仿宋" w:eastAsia="仿宋" w:hAnsi="仿宋" w:hint="eastAsia"/>
          <w:b w:val="0"/>
          <w:bCs/>
          <w:sz w:val="32"/>
          <w:szCs w:val="32"/>
        </w:rPr>
        <w:t>7.64</w:t>
      </w:r>
      <w:r w:rsidRPr="008378FE">
        <w:rPr>
          <w:rStyle w:val="a7"/>
          <w:rFonts w:ascii="仿宋" w:eastAsia="仿宋" w:hAnsi="仿宋"/>
          <w:b w:val="0"/>
          <w:bCs/>
          <w:sz w:val="32"/>
          <w:szCs w:val="32"/>
        </w:rPr>
        <w:t>%</w:t>
      </w:r>
      <w:r>
        <w:rPr>
          <w:rStyle w:val="a7"/>
          <w:rFonts w:ascii="仿宋" w:eastAsia="仿宋" w:hAnsi="仿宋" w:hint="eastAsia"/>
          <w:b w:val="0"/>
          <w:bCs/>
          <w:sz w:val="32"/>
          <w:szCs w:val="32"/>
        </w:rPr>
        <w:t>。</w:t>
      </w:r>
      <w:r w:rsidR="004F2680">
        <w:rPr>
          <w:rFonts w:ascii="仿宋_GB2312" w:eastAsia="仿宋_GB2312" w:hint="eastAsia"/>
          <w:sz w:val="32"/>
          <w:szCs w:val="32"/>
        </w:rPr>
        <w:t>公务接待费支出决算比</w:t>
      </w:r>
      <w:r w:rsidR="00A26D79">
        <w:rPr>
          <w:rFonts w:ascii="仿宋_GB2312" w:eastAsia="仿宋_GB2312"/>
          <w:sz w:val="32"/>
          <w:szCs w:val="32"/>
        </w:rPr>
        <w:t>20</w:t>
      </w:r>
      <w:r w:rsidR="00A26D79">
        <w:rPr>
          <w:rFonts w:ascii="仿宋_GB2312" w:eastAsia="仿宋_GB2312" w:hint="eastAsia"/>
          <w:sz w:val="32"/>
          <w:szCs w:val="32"/>
        </w:rPr>
        <w:t>20</w:t>
      </w:r>
      <w:r w:rsidR="004F2680">
        <w:rPr>
          <w:rFonts w:ascii="仿宋_GB2312" w:eastAsia="仿宋_GB2312" w:hint="eastAsia"/>
          <w:sz w:val="32"/>
          <w:szCs w:val="32"/>
        </w:rPr>
        <w:t>年</w:t>
      </w:r>
      <w:r w:rsidR="00A26D79">
        <w:rPr>
          <w:rFonts w:ascii="仿宋_GB2312" w:eastAsia="仿宋_GB2312" w:hint="eastAsia"/>
          <w:sz w:val="32"/>
          <w:szCs w:val="32"/>
        </w:rPr>
        <w:t>增加0.12万元，增长16.67%</w:t>
      </w:r>
      <w:r w:rsidR="004F2680">
        <w:rPr>
          <w:rFonts w:ascii="仿宋_GB2312" w:eastAsia="仿宋_GB2312" w:hint="eastAsia"/>
          <w:sz w:val="32"/>
          <w:szCs w:val="32"/>
        </w:rPr>
        <w:t>。</w:t>
      </w:r>
      <w:r w:rsidR="004F2680" w:rsidRPr="008378FE">
        <w:rPr>
          <w:rFonts w:ascii="仿宋_GB2312" w:eastAsia="仿宋_GB2312" w:hint="eastAsia"/>
          <w:sz w:val="32"/>
          <w:szCs w:val="32"/>
        </w:rPr>
        <w:t>主要原因是202</w:t>
      </w:r>
      <w:r w:rsidR="008378FE" w:rsidRPr="008378FE">
        <w:rPr>
          <w:rFonts w:ascii="仿宋_GB2312" w:eastAsia="仿宋_GB2312" w:hint="eastAsia"/>
          <w:sz w:val="32"/>
          <w:szCs w:val="32"/>
        </w:rPr>
        <w:t>1</w:t>
      </w:r>
      <w:r w:rsidR="004F2680" w:rsidRPr="008378FE">
        <w:rPr>
          <w:rFonts w:ascii="仿宋_GB2312" w:eastAsia="仿宋_GB2312" w:hint="eastAsia"/>
          <w:sz w:val="32"/>
          <w:szCs w:val="32"/>
        </w:rPr>
        <w:t>年接待次数及人数</w:t>
      </w:r>
      <w:r w:rsidR="008378FE" w:rsidRPr="008378FE">
        <w:rPr>
          <w:rFonts w:ascii="仿宋_GB2312" w:eastAsia="仿宋_GB2312" w:hint="eastAsia"/>
          <w:sz w:val="32"/>
          <w:szCs w:val="32"/>
        </w:rPr>
        <w:t>增多</w:t>
      </w:r>
      <w:r w:rsidR="004F2680" w:rsidRPr="008378FE">
        <w:rPr>
          <w:rFonts w:ascii="仿宋_GB2312" w:eastAsia="仿宋_GB2312" w:hint="eastAsia"/>
          <w:sz w:val="32"/>
          <w:szCs w:val="32"/>
        </w:rPr>
        <w:t>。</w:t>
      </w:r>
      <w:r>
        <w:rPr>
          <w:rFonts w:ascii="仿宋_GB2312" w:eastAsia="仿宋_GB2312" w:hint="eastAsia"/>
          <w:sz w:val="32"/>
          <w:szCs w:val="32"/>
        </w:rPr>
        <w:t>其中：</w:t>
      </w:r>
    </w:p>
    <w:p w:rsidR="008378FE" w:rsidRPr="00C821E8" w:rsidRDefault="005360AC" w:rsidP="008378FE">
      <w:pPr>
        <w:spacing w:line="600" w:lineRule="exact"/>
        <w:ind w:firstLineChars="200" w:firstLine="643"/>
        <w:rPr>
          <w:rFonts w:ascii="仿宋_GB2312" w:eastAsia="仿宋_GB2312"/>
          <w:sz w:val="32"/>
          <w:szCs w:val="32"/>
        </w:rPr>
      </w:pPr>
      <w:r>
        <w:rPr>
          <w:rFonts w:ascii="仿宋" w:eastAsia="仿宋" w:hAnsi="仿宋" w:hint="eastAsia"/>
          <w:b/>
          <w:sz w:val="32"/>
          <w:szCs w:val="32"/>
        </w:rPr>
        <w:t>国内公务接待支出</w:t>
      </w:r>
      <w:r w:rsidR="00A26D79">
        <w:rPr>
          <w:rFonts w:ascii="仿宋" w:eastAsia="仿宋" w:hAnsi="仿宋" w:hint="eastAsia"/>
          <w:b/>
          <w:sz w:val="32"/>
          <w:szCs w:val="32"/>
        </w:rPr>
        <w:t>0.84</w:t>
      </w:r>
      <w:r>
        <w:rPr>
          <w:rFonts w:ascii="仿宋_GB2312" w:eastAsia="仿宋_GB2312" w:hint="eastAsia"/>
          <w:sz w:val="32"/>
          <w:szCs w:val="32"/>
        </w:rPr>
        <w:t>万元，</w:t>
      </w:r>
      <w:r w:rsidR="004F2680">
        <w:rPr>
          <w:rFonts w:ascii="仿宋_GB2312" w:eastAsia="仿宋_GB2312" w:hint="eastAsia"/>
          <w:sz w:val="32"/>
          <w:szCs w:val="32"/>
        </w:rPr>
        <w:t>主要用于</w:t>
      </w:r>
      <w:r w:rsidR="004F2680" w:rsidRPr="00C821E8">
        <w:rPr>
          <w:rFonts w:ascii="仿宋_GB2312" w:eastAsia="仿宋_GB2312" w:hint="eastAsia"/>
          <w:sz w:val="32"/>
          <w:szCs w:val="32"/>
        </w:rPr>
        <w:t>执行公务、开展业务活动</w:t>
      </w:r>
      <w:r w:rsidR="004F2680">
        <w:rPr>
          <w:rFonts w:ascii="仿宋_GB2312" w:eastAsia="仿宋_GB2312" w:hint="eastAsia"/>
          <w:sz w:val="32"/>
          <w:szCs w:val="32"/>
        </w:rPr>
        <w:t>所必要的公务接待开支等。</w:t>
      </w:r>
      <w:r w:rsidR="008378FE">
        <w:rPr>
          <w:rFonts w:ascii="仿宋_GB2312" w:eastAsia="仿宋_GB2312" w:hint="eastAsia"/>
          <w:sz w:val="32"/>
          <w:szCs w:val="32"/>
        </w:rPr>
        <w:t>国内公务接待5批次、43人次（不包括陪同人员），共计支出0.84万元，具体内容包括：</w:t>
      </w:r>
      <w:r w:rsidR="008378FE" w:rsidRPr="00C821E8">
        <w:rPr>
          <w:rFonts w:ascii="仿宋_GB2312" w:eastAsia="仿宋_GB2312" w:cs="仿宋_GB2312" w:hint="eastAsia"/>
          <w:color w:val="000000"/>
          <w:sz w:val="32"/>
          <w:szCs w:val="32"/>
        </w:rPr>
        <w:t>接待</w:t>
      </w:r>
      <w:r w:rsidR="008378FE">
        <w:rPr>
          <w:rFonts w:ascii="仿宋_GB2312" w:eastAsia="仿宋_GB2312" w:cs="仿宋_GB2312" w:hint="eastAsia"/>
          <w:color w:val="000000"/>
          <w:sz w:val="32"/>
          <w:szCs w:val="32"/>
        </w:rPr>
        <w:t>吉林省</w:t>
      </w:r>
      <w:r w:rsidR="008378FE" w:rsidRPr="00113B40">
        <w:rPr>
          <w:rFonts w:ascii="仿宋_GB2312" w:eastAsia="仿宋_GB2312" w:cs="仿宋_GB2312" w:hint="eastAsia"/>
          <w:color w:val="000000"/>
          <w:sz w:val="32"/>
          <w:szCs w:val="32"/>
        </w:rPr>
        <w:t>政法委</w:t>
      </w:r>
      <w:r w:rsidR="008378FE" w:rsidRPr="00C821E8">
        <w:rPr>
          <w:rFonts w:ascii="仿宋_GB2312" w:eastAsia="仿宋_GB2312" w:cs="仿宋_GB2312" w:hint="eastAsia"/>
          <w:color w:val="000000"/>
          <w:sz w:val="32"/>
          <w:szCs w:val="32"/>
        </w:rPr>
        <w:t>工作组</w:t>
      </w:r>
      <w:r w:rsidR="008378FE">
        <w:rPr>
          <w:rFonts w:ascii="仿宋_GB2312" w:eastAsia="仿宋_GB2312" w:cs="仿宋_GB2312" w:hint="eastAsia"/>
          <w:color w:val="000000"/>
          <w:sz w:val="32"/>
          <w:szCs w:val="32"/>
        </w:rPr>
        <w:t>0.23</w:t>
      </w:r>
      <w:r w:rsidR="008378FE" w:rsidRPr="00C821E8">
        <w:rPr>
          <w:rFonts w:ascii="仿宋_GB2312" w:eastAsia="仿宋_GB2312" w:cs="仿宋_GB2312" w:hint="eastAsia"/>
          <w:color w:val="000000"/>
          <w:sz w:val="32"/>
          <w:szCs w:val="32"/>
        </w:rPr>
        <w:t>万元，接待</w:t>
      </w:r>
      <w:r w:rsidR="008378FE">
        <w:rPr>
          <w:rFonts w:ascii="仿宋_GB2312" w:eastAsia="仿宋_GB2312" w:cs="仿宋_GB2312" w:hint="eastAsia"/>
          <w:color w:val="000000"/>
          <w:sz w:val="32"/>
          <w:szCs w:val="32"/>
        </w:rPr>
        <w:t>中央</w:t>
      </w:r>
      <w:r w:rsidR="008378FE" w:rsidRPr="00113B40">
        <w:rPr>
          <w:rFonts w:ascii="仿宋_GB2312" w:eastAsia="仿宋_GB2312" w:cs="仿宋_GB2312" w:hint="eastAsia"/>
          <w:color w:val="000000"/>
          <w:sz w:val="32"/>
          <w:szCs w:val="32"/>
        </w:rPr>
        <w:t>政法委</w:t>
      </w:r>
      <w:r w:rsidR="008378FE" w:rsidRPr="00C821E8">
        <w:rPr>
          <w:rFonts w:ascii="仿宋_GB2312" w:eastAsia="仿宋_GB2312" w:cs="仿宋_GB2312" w:hint="eastAsia"/>
          <w:color w:val="000000"/>
          <w:sz w:val="32"/>
          <w:szCs w:val="32"/>
        </w:rPr>
        <w:t>工作组0.1</w:t>
      </w:r>
      <w:r w:rsidR="008378FE">
        <w:rPr>
          <w:rFonts w:ascii="仿宋_GB2312" w:eastAsia="仿宋_GB2312" w:cs="仿宋_GB2312" w:hint="eastAsia"/>
          <w:color w:val="000000"/>
          <w:sz w:val="32"/>
          <w:szCs w:val="32"/>
        </w:rPr>
        <w:t>3</w:t>
      </w:r>
      <w:r w:rsidR="008378FE" w:rsidRPr="00C821E8">
        <w:rPr>
          <w:rFonts w:ascii="仿宋_GB2312" w:eastAsia="仿宋_GB2312" w:cs="仿宋_GB2312" w:hint="eastAsia"/>
          <w:color w:val="000000"/>
          <w:sz w:val="32"/>
          <w:szCs w:val="32"/>
        </w:rPr>
        <w:t>万元，接待</w:t>
      </w:r>
      <w:r w:rsidR="008378FE">
        <w:rPr>
          <w:rFonts w:ascii="仿宋_GB2312" w:eastAsia="仿宋_GB2312" w:cs="仿宋_GB2312" w:hint="eastAsia"/>
          <w:color w:val="000000"/>
          <w:sz w:val="32"/>
          <w:szCs w:val="32"/>
        </w:rPr>
        <w:t>中政委调研采访团</w:t>
      </w:r>
      <w:r w:rsidR="008378FE" w:rsidRPr="00C821E8">
        <w:rPr>
          <w:rFonts w:ascii="仿宋_GB2312" w:eastAsia="仿宋_GB2312" w:cs="仿宋_GB2312" w:hint="eastAsia"/>
          <w:color w:val="000000"/>
          <w:sz w:val="32"/>
          <w:szCs w:val="32"/>
        </w:rPr>
        <w:t>0.</w:t>
      </w:r>
      <w:r w:rsidR="008378FE">
        <w:rPr>
          <w:rFonts w:ascii="仿宋_GB2312" w:eastAsia="仿宋_GB2312" w:cs="仿宋_GB2312" w:hint="eastAsia"/>
          <w:color w:val="000000"/>
          <w:sz w:val="32"/>
          <w:szCs w:val="32"/>
        </w:rPr>
        <w:t>16</w:t>
      </w:r>
      <w:r w:rsidR="008378FE" w:rsidRPr="00C821E8">
        <w:rPr>
          <w:rFonts w:ascii="仿宋_GB2312" w:eastAsia="仿宋_GB2312" w:cs="仿宋_GB2312" w:hint="eastAsia"/>
          <w:color w:val="000000"/>
          <w:sz w:val="32"/>
          <w:szCs w:val="32"/>
        </w:rPr>
        <w:t>万元，接待</w:t>
      </w:r>
      <w:r w:rsidR="008378FE">
        <w:rPr>
          <w:rFonts w:ascii="仿宋_GB2312" w:eastAsia="仿宋_GB2312" w:cs="仿宋_GB2312" w:hint="eastAsia"/>
          <w:color w:val="000000"/>
          <w:sz w:val="32"/>
          <w:szCs w:val="32"/>
        </w:rPr>
        <w:t>吉林省</w:t>
      </w:r>
      <w:r w:rsidR="008378FE" w:rsidRPr="00113B40">
        <w:rPr>
          <w:rFonts w:ascii="仿宋_GB2312" w:eastAsia="仿宋_GB2312" w:cs="仿宋_GB2312" w:hint="eastAsia"/>
          <w:color w:val="000000"/>
          <w:sz w:val="32"/>
          <w:szCs w:val="32"/>
        </w:rPr>
        <w:t>政法委</w:t>
      </w:r>
      <w:r w:rsidR="008378FE">
        <w:rPr>
          <w:rFonts w:ascii="仿宋_GB2312" w:eastAsia="仿宋_GB2312" w:cs="仿宋_GB2312" w:hint="eastAsia"/>
          <w:color w:val="000000"/>
          <w:sz w:val="32"/>
          <w:szCs w:val="32"/>
        </w:rPr>
        <w:t>来川考察</w:t>
      </w:r>
      <w:r w:rsidR="008378FE" w:rsidRPr="00C821E8">
        <w:rPr>
          <w:rFonts w:ascii="仿宋_GB2312" w:eastAsia="仿宋_GB2312" w:cs="仿宋_GB2312" w:hint="eastAsia"/>
          <w:color w:val="000000"/>
          <w:sz w:val="32"/>
          <w:szCs w:val="32"/>
        </w:rPr>
        <w:t>0.</w:t>
      </w:r>
      <w:r w:rsidR="008378FE">
        <w:rPr>
          <w:rFonts w:ascii="仿宋_GB2312" w:eastAsia="仿宋_GB2312" w:cs="仿宋_GB2312" w:hint="eastAsia"/>
          <w:color w:val="000000"/>
          <w:sz w:val="32"/>
          <w:szCs w:val="32"/>
        </w:rPr>
        <w:t>16</w:t>
      </w:r>
      <w:r w:rsidR="008378FE" w:rsidRPr="00C821E8">
        <w:rPr>
          <w:rFonts w:ascii="仿宋_GB2312" w:eastAsia="仿宋_GB2312" w:cs="仿宋_GB2312" w:hint="eastAsia"/>
          <w:color w:val="000000"/>
          <w:sz w:val="32"/>
          <w:szCs w:val="32"/>
        </w:rPr>
        <w:t>万元，接待</w:t>
      </w:r>
      <w:r w:rsidR="008378FE">
        <w:rPr>
          <w:rFonts w:ascii="仿宋_GB2312" w:eastAsia="仿宋_GB2312" w:cs="仿宋_GB2312" w:hint="eastAsia"/>
          <w:color w:val="000000"/>
          <w:sz w:val="32"/>
          <w:szCs w:val="32"/>
        </w:rPr>
        <w:t>中央</w:t>
      </w:r>
      <w:r w:rsidR="008378FE" w:rsidRPr="00113B40">
        <w:rPr>
          <w:rFonts w:ascii="仿宋_GB2312" w:eastAsia="仿宋_GB2312" w:cs="仿宋_GB2312" w:hint="eastAsia"/>
          <w:color w:val="000000"/>
          <w:sz w:val="32"/>
          <w:szCs w:val="32"/>
        </w:rPr>
        <w:t>政法委</w:t>
      </w:r>
      <w:r w:rsidR="008378FE" w:rsidRPr="00C821E8">
        <w:rPr>
          <w:rFonts w:ascii="仿宋_GB2312" w:eastAsia="仿宋_GB2312" w:cs="仿宋_GB2312" w:hint="eastAsia"/>
          <w:color w:val="000000"/>
          <w:sz w:val="32"/>
          <w:szCs w:val="32"/>
        </w:rPr>
        <w:t>工作组</w:t>
      </w:r>
      <w:r w:rsidR="008378FE">
        <w:rPr>
          <w:rFonts w:ascii="仿宋_GB2312" w:eastAsia="仿宋_GB2312" w:cs="仿宋_GB2312" w:hint="eastAsia"/>
          <w:color w:val="000000"/>
          <w:sz w:val="32"/>
          <w:szCs w:val="32"/>
        </w:rPr>
        <w:t>0.16</w:t>
      </w:r>
      <w:r w:rsidR="008378FE" w:rsidRPr="00C821E8">
        <w:rPr>
          <w:rFonts w:ascii="仿宋_GB2312" w:eastAsia="仿宋_GB2312" w:cs="仿宋_GB2312" w:hint="eastAsia"/>
          <w:color w:val="000000"/>
          <w:sz w:val="32"/>
          <w:szCs w:val="32"/>
        </w:rPr>
        <w:t>万元</w:t>
      </w:r>
      <w:r w:rsidR="008378FE" w:rsidRPr="00C821E8">
        <w:rPr>
          <w:rFonts w:ascii="仿宋_GB2312" w:eastAsia="仿宋_GB2312" w:hint="eastAsia"/>
          <w:sz w:val="32"/>
          <w:szCs w:val="32"/>
        </w:rPr>
        <w:t>。</w:t>
      </w:r>
    </w:p>
    <w:p w:rsidR="00E6420A" w:rsidRDefault="005360AC" w:rsidP="008378FE">
      <w:pPr>
        <w:spacing w:line="600" w:lineRule="exact"/>
        <w:ind w:firstLine="640"/>
        <w:rPr>
          <w:rFonts w:ascii="仿宋_GB2312" w:eastAsia="仿宋_GB2312"/>
          <w:sz w:val="32"/>
          <w:szCs w:val="32"/>
        </w:rPr>
      </w:pPr>
      <w:r>
        <w:rPr>
          <w:rFonts w:ascii="仿宋" w:eastAsia="仿宋" w:hAnsi="仿宋" w:hint="eastAsia"/>
          <w:b/>
          <w:sz w:val="32"/>
          <w:szCs w:val="32"/>
        </w:rPr>
        <w:t>外事接待支出</w:t>
      </w:r>
      <w:r w:rsidR="00FE3A08">
        <w:rPr>
          <w:rFonts w:ascii="仿宋" w:eastAsia="仿宋" w:hAnsi="仿宋" w:hint="eastAsia"/>
          <w:sz w:val="32"/>
          <w:szCs w:val="32"/>
        </w:rPr>
        <w:t>0</w:t>
      </w:r>
      <w:r>
        <w:rPr>
          <w:rFonts w:ascii="仿宋_GB2312" w:eastAsia="仿宋_GB2312" w:hint="eastAsia"/>
          <w:sz w:val="32"/>
          <w:szCs w:val="32"/>
        </w:rPr>
        <w:t>万元，外事接待</w:t>
      </w:r>
      <w:r w:rsidR="00FE3A08">
        <w:rPr>
          <w:rFonts w:ascii="仿宋_GB2312" w:eastAsia="仿宋_GB2312" w:hint="eastAsia"/>
          <w:sz w:val="32"/>
          <w:szCs w:val="32"/>
        </w:rPr>
        <w:t>0</w:t>
      </w:r>
      <w:r>
        <w:rPr>
          <w:rFonts w:ascii="仿宋_GB2312" w:eastAsia="仿宋_GB2312" w:hint="eastAsia"/>
          <w:sz w:val="32"/>
          <w:szCs w:val="32"/>
        </w:rPr>
        <w:t>批次，</w:t>
      </w:r>
      <w:r w:rsidR="00FE3A08">
        <w:rPr>
          <w:rFonts w:ascii="仿宋_GB2312" w:eastAsia="仿宋_GB2312" w:hint="eastAsia"/>
          <w:sz w:val="32"/>
          <w:szCs w:val="32"/>
        </w:rPr>
        <w:t>0</w:t>
      </w:r>
      <w:r>
        <w:rPr>
          <w:rFonts w:ascii="仿宋_GB2312" w:eastAsia="仿宋_GB2312" w:hint="eastAsia"/>
          <w:sz w:val="32"/>
          <w:szCs w:val="32"/>
        </w:rPr>
        <w:t>人，共计支出</w:t>
      </w:r>
      <w:r w:rsidR="00FE3A08">
        <w:rPr>
          <w:rFonts w:ascii="仿宋_GB2312" w:eastAsia="仿宋_GB2312" w:hint="eastAsia"/>
          <w:sz w:val="32"/>
          <w:szCs w:val="32"/>
        </w:rPr>
        <w:t>0</w:t>
      </w:r>
      <w:r>
        <w:rPr>
          <w:rFonts w:ascii="仿宋_GB2312" w:eastAsia="仿宋_GB2312" w:hint="eastAsia"/>
          <w:sz w:val="32"/>
          <w:szCs w:val="32"/>
        </w:rPr>
        <w:t>万元。</w:t>
      </w:r>
    </w:p>
    <w:p w:rsidR="00E6420A" w:rsidRDefault="005360AC">
      <w:pPr>
        <w:spacing w:line="600" w:lineRule="exact"/>
        <w:ind w:firstLine="640"/>
        <w:outlineLvl w:val="1"/>
        <w:rPr>
          <w:rStyle w:val="2Char"/>
          <w:rFonts w:ascii="黑体" w:eastAsia="黑体" w:hAnsi="黑体"/>
        </w:rPr>
      </w:pPr>
      <w:bookmarkStart w:id="40" w:name="_Toc15377218"/>
      <w:bookmarkStart w:id="41" w:name="_Toc15396610"/>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E6420A" w:rsidRDefault="005360AC">
      <w:pPr>
        <w:spacing w:line="600" w:lineRule="exact"/>
        <w:ind w:firstLine="640"/>
        <w:rPr>
          <w:rFonts w:ascii="仿宋_GB2312" w:eastAsia="仿宋_GB2312"/>
          <w:sz w:val="32"/>
          <w:szCs w:val="32"/>
        </w:rPr>
      </w:pPr>
      <w:r>
        <w:rPr>
          <w:rFonts w:ascii="仿宋_GB2312" w:eastAsia="仿宋_GB2312"/>
          <w:sz w:val="32"/>
          <w:szCs w:val="32"/>
        </w:rPr>
        <w:t>20</w:t>
      </w:r>
      <w:r w:rsidR="00A26D79">
        <w:rPr>
          <w:rFonts w:ascii="仿宋_GB2312" w:eastAsia="仿宋_GB2312" w:hint="eastAsia"/>
          <w:sz w:val="32"/>
          <w:szCs w:val="32"/>
        </w:rPr>
        <w:t>21</w:t>
      </w:r>
      <w:r>
        <w:rPr>
          <w:rFonts w:ascii="仿宋_GB2312" w:eastAsia="仿宋_GB2312" w:hint="eastAsia"/>
          <w:sz w:val="32"/>
          <w:szCs w:val="32"/>
        </w:rPr>
        <w:t>年政府性基金预算财政拨款支出</w:t>
      </w:r>
      <w:r w:rsidR="00FE3A08">
        <w:rPr>
          <w:rFonts w:ascii="仿宋_GB2312" w:eastAsia="仿宋_GB2312" w:hint="eastAsia"/>
          <w:sz w:val="32"/>
          <w:szCs w:val="32"/>
        </w:rPr>
        <w:t>0</w:t>
      </w:r>
      <w:r>
        <w:rPr>
          <w:rFonts w:ascii="仿宋_GB2312" w:eastAsia="仿宋_GB2312" w:hint="eastAsia"/>
          <w:sz w:val="32"/>
          <w:szCs w:val="32"/>
        </w:rPr>
        <w:t>万元。</w:t>
      </w:r>
    </w:p>
    <w:p w:rsidR="00E6420A" w:rsidRDefault="005360AC">
      <w:pPr>
        <w:numPr>
          <w:ilvl w:val="0"/>
          <w:numId w:val="3"/>
        </w:numPr>
        <w:spacing w:line="600" w:lineRule="exact"/>
        <w:ind w:firstLine="640"/>
        <w:outlineLvl w:val="1"/>
        <w:rPr>
          <w:rStyle w:val="2Char"/>
          <w:rFonts w:ascii="黑体" w:eastAsia="黑体" w:hAnsi="黑体"/>
          <w:b w:val="0"/>
        </w:rPr>
      </w:pPr>
      <w:bookmarkStart w:id="42" w:name="_Toc15377219"/>
      <w:bookmarkStart w:id="43" w:name="_Toc15396611"/>
      <w:r>
        <w:rPr>
          <w:rStyle w:val="2Char"/>
          <w:rFonts w:ascii="黑体" w:eastAsia="黑体" w:hAnsi="黑体" w:hint="eastAsia"/>
          <w:b w:val="0"/>
        </w:rPr>
        <w:t>国有资本经营预算支出决算情况说明</w:t>
      </w:r>
      <w:bookmarkEnd w:id="42"/>
      <w:bookmarkEnd w:id="43"/>
    </w:p>
    <w:p w:rsidR="00E6420A" w:rsidRDefault="005360AC">
      <w:pPr>
        <w:spacing w:line="600" w:lineRule="exact"/>
        <w:ind w:firstLine="640"/>
        <w:rPr>
          <w:rFonts w:ascii="仿宋_GB2312" w:eastAsia="仿宋_GB2312"/>
          <w:sz w:val="32"/>
          <w:szCs w:val="32"/>
        </w:rPr>
      </w:pPr>
      <w:r>
        <w:rPr>
          <w:rFonts w:ascii="仿宋_GB2312" w:eastAsia="仿宋_GB2312"/>
          <w:sz w:val="32"/>
          <w:szCs w:val="32"/>
        </w:rPr>
        <w:t>20</w:t>
      </w:r>
      <w:r w:rsidR="00A26D79">
        <w:rPr>
          <w:rFonts w:ascii="仿宋_GB2312" w:eastAsia="仿宋_GB2312" w:hint="eastAsia"/>
          <w:sz w:val="32"/>
          <w:szCs w:val="32"/>
        </w:rPr>
        <w:t>21</w:t>
      </w:r>
      <w:r>
        <w:rPr>
          <w:rFonts w:ascii="仿宋_GB2312" w:eastAsia="仿宋_GB2312" w:hint="eastAsia"/>
          <w:sz w:val="32"/>
          <w:szCs w:val="32"/>
        </w:rPr>
        <w:t>年国有资本经营预算财政拨款支出</w:t>
      </w:r>
      <w:r w:rsidR="00FE3A08">
        <w:rPr>
          <w:rFonts w:ascii="仿宋_GB2312" w:eastAsia="仿宋_GB2312" w:hint="eastAsia"/>
          <w:sz w:val="32"/>
          <w:szCs w:val="32"/>
        </w:rPr>
        <w:t>0</w:t>
      </w:r>
      <w:r>
        <w:rPr>
          <w:rFonts w:ascii="仿宋_GB2312" w:eastAsia="仿宋_GB2312" w:hint="eastAsia"/>
          <w:sz w:val="32"/>
          <w:szCs w:val="32"/>
        </w:rPr>
        <w:t>万元。</w:t>
      </w:r>
    </w:p>
    <w:p w:rsidR="00E6420A" w:rsidRDefault="005360AC">
      <w:pPr>
        <w:numPr>
          <w:ilvl w:val="0"/>
          <w:numId w:val="3"/>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lastRenderedPageBreak/>
        <w:t>其他重要事项的情况说明</w:t>
      </w:r>
      <w:bookmarkEnd w:id="44"/>
      <w:bookmarkEnd w:id="45"/>
    </w:p>
    <w:p w:rsidR="00E6420A" w:rsidRDefault="005360AC">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71219E" w:rsidRPr="00D95273" w:rsidRDefault="005360AC" w:rsidP="00D95273">
      <w:pPr>
        <w:spacing w:line="600" w:lineRule="exact"/>
        <w:ind w:firstLineChars="200" w:firstLine="640"/>
        <w:outlineLvl w:val="2"/>
        <w:rPr>
          <w:rFonts w:ascii="仿宋_GB2312" w:eastAsia="仿宋_GB2312" w:hAnsi="仿宋"/>
          <w:sz w:val="32"/>
          <w:szCs w:val="32"/>
        </w:rPr>
      </w:pPr>
      <w:r w:rsidRPr="00D95273">
        <w:rPr>
          <w:rFonts w:ascii="仿宋_GB2312" w:eastAsia="仿宋_GB2312" w:hAnsi="仿宋" w:hint="eastAsia"/>
          <w:sz w:val="32"/>
          <w:szCs w:val="32"/>
        </w:rPr>
        <w:t>202</w:t>
      </w:r>
      <w:r w:rsidR="00D95273" w:rsidRPr="00D95273">
        <w:rPr>
          <w:rFonts w:ascii="仿宋_GB2312" w:eastAsia="仿宋_GB2312" w:hAnsi="仿宋" w:hint="eastAsia"/>
          <w:sz w:val="32"/>
          <w:szCs w:val="32"/>
        </w:rPr>
        <w:t>1</w:t>
      </w:r>
      <w:r w:rsidRPr="00D95273">
        <w:rPr>
          <w:rFonts w:ascii="仿宋_GB2312" w:eastAsia="仿宋_GB2312" w:hAnsi="仿宋" w:hint="eastAsia"/>
          <w:sz w:val="32"/>
          <w:szCs w:val="32"/>
        </w:rPr>
        <w:t>年，</w:t>
      </w:r>
      <w:r w:rsidR="007377A1" w:rsidRPr="00D95273">
        <w:rPr>
          <w:rFonts w:ascii="仿宋_GB2312" w:eastAsia="仿宋_GB2312" w:hAnsi="仿宋" w:hint="eastAsia"/>
          <w:sz w:val="32"/>
          <w:szCs w:val="32"/>
        </w:rPr>
        <w:t>中共四川省委政法委员会</w:t>
      </w:r>
      <w:r w:rsidRPr="00D95273">
        <w:rPr>
          <w:rFonts w:ascii="仿宋_GB2312" w:eastAsia="仿宋_GB2312" w:hAnsi="仿宋" w:hint="eastAsia"/>
          <w:sz w:val="32"/>
          <w:szCs w:val="32"/>
        </w:rPr>
        <w:t>机关运行经费支出</w:t>
      </w:r>
      <w:r w:rsidR="00D95273" w:rsidRPr="00D95273">
        <w:rPr>
          <w:rFonts w:ascii="仿宋_GB2312" w:eastAsia="仿宋_GB2312" w:hAnsi="仿宋" w:hint="eastAsia"/>
          <w:sz w:val="32"/>
          <w:szCs w:val="32"/>
        </w:rPr>
        <w:t>819.11</w:t>
      </w:r>
      <w:r w:rsidRPr="00D95273">
        <w:rPr>
          <w:rFonts w:ascii="仿宋_GB2312" w:eastAsia="仿宋_GB2312" w:hAnsi="仿宋" w:hint="eastAsia"/>
          <w:sz w:val="32"/>
          <w:szCs w:val="32"/>
        </w:rPr>
        <w:t>万元，比</w:t>
      </w:r>
      <w:r w:rsidR="00D95273" w:rsidRPr="00D95273">
        <w:rPr>
          <w:rFonts w:ascii="仿宋_GB2312" w:eastAsia="仿宋_GB2312" w:hAnsi="仿宋" w:hint="eastAsia"/>
          <w:sz w:val="32"/>
          <w:szCs w:val="32"/>
        </w:rPr>
        <w:t>2020</w:t>
      </w:r>
      <w:r w:rsidRPr="00D95273">
        <w:rPr>
          <w:rFonts w:ascii="仿宋_GB2312" w:eastAsia="仿宋_GB2312" w:hAnsi="仿宋" w:hint="eastAsia"/>
          <w:sz w:val="32"/>
          <w:szCs w:val="32"/>
        </w:rPr>
        <w:t>年增加</w:t>
      </w:r>
      <w:r w:rsidR="00D95273" w:rsidRPr="00D95273">
        <w:rPr>
          <w:rFonts w:ascii="仿宋_GB2312" w:eastAsia="仿宋_GB2312" w:hAnsi="仿宋" w:hint="eastAsia"/>
          <w:sz w:val="32"/>
          <w:szCs w:val="32"/>
        </w:rPr>
        <w:t>299.65</w:t>
      </w:r>
      <w:r w:rsidRPr="00D95273">
        <w:rPr>
          <w:rFonts w:ascii="仿宋_GB2312" w:eastAsia="仿宋_GB2312" w:hAnsi="仿宋" w:hint="eastAsia"/>
          <w:sz w:val="32"/>
          <w:szCs w:val="32"/>
        </w:rPr>
        <w:t>万元，增长</w:t>
      </w:r>
      <w:r w:rsidR="00D95273" w:rsidRPr="00D95273">
        <w:rPr>
          <w:rFonts w:ascii="仿宋_GB2312" w:eastAsia="仿宋_GB2312" w:hAnsi="仿宋" w:hint="eastAsia"/>
          <w:sz w:val="32"/>
          <w:szCs w:val="32"/>
        </w:rPr>
        <w:t>57.68</w:t>
      </w:r>
      <w:r w:rsidRPr="00D95273">
        <w:rPr>
          <w:rFonts w:ascii="仿宋_GB2312" w:eastAsia="仿宋_GB2312" w:hAnsi="仿宋" w:hint="eastAsia"/>
          <w:sz w:val="32"/>
          <w:szCs w:val="32"/>
        </w:rPr>
        <w:t>%。主要原因是</w:t>
      </w:r>
      <w:bookmarkStart w:id="47" w:name="_Toc15377223"/>
      <w:r w:rsidR="0071219E" w:rsidRPr="00D95273">
        <w:rPr>
          <w:rFonts w:ascii="仿宋_GB2312" w:eastAsia="仿宋_GB2312" w:hAnsi="仿宋" w:hint="eastAsia"/>
          <w:sz w:val="32"/>
          <w:szCs w:val="32"/>
        </w:rPr>
        <w:t>非定额公用经费增加等因素。</w:t>
      </w:r>
    </w:p>
    <w:p w:rsidR="00E6420A" w:rsidRDefault="005360AC" w:rsidP="0071219E">
      <w:pPr>
        <w:spacing w:line="600" w:lineRule="exact"/>
        <w:ind w:firstLineChars="200" w:firstLine="643"/>
        <w:rPr>
          <w:rFonts w:ascii="仿宋" w:eastAsia="仿宋" w:hAnsi="仿宋"/>
          <w:b/>
          <w:sz w:val="32"/>
          <w:szCs w:val="32"/>
        </w:rPr>
      </w:pPr>
      <w:r>
        <w:rPr>
          <w:rFonts w:ascii="仿宋" w:eastAsia="仿宋" w:hAnsi="仿宋" w:hint="eastAsia"/>
          <w:b/>
          <w:sz w:val="32"/>
          <w:szCs w:val="32"/>
        </w:rPr>
        <w:t>（二）政府采购支出情况</w:t>
      </w:r>
      <w:bookmarkEnd w:id="47"/>
    </w:p>
    <w:p w:rsidR="00E6420A" w:rsidRDefault="005360AC">
      <w:pPr>
        <w:spacing w:line="600" w:lineRule="exact"/>
        <w:ind w:firstLineChars="200" w:firstLine="640"/>
        <w:rPr>
          <w:rFonts w:ascii="仿宋_GB2312" w:eastAsia="仿宋_GB2312"/>
          <w:sz w:val="32"/>
          <w:szCs w:val="32"/>
        </w:rPr>
      </w:pPr>
      <w:r w:rsidRPr="00D95273">
        <w:rPr>
          <w:rFonts w:ascii="仿宋_GB2312" w:eastAsia="仿宋_GB2312"/>
          <w:sz w:val="32"/>
          <w:szCs w:val="32"/>
        </w:rPr>
        <w:t>20</w:t>
      </w:r>
      <w:r w:rsidRPr="00D95273">
        <w:rPr>
          <w:rFonts w:ascii="仿宋_GB2312" w:eastAsia="仿宋_GB2312" w:hint="eastAsia"/>
          <w:sz w:val="32"/>
          <w:szCs w:val="32"/>
        </w:rPr>
        <w:t>2</w:t>
      </w:r>
      <w:r w:rsidR="00D95273" w:rsidRPr="00D95273">
        <w:rPr>
          <w:rFonts w:ascii="仿宋_GB2312" w:eastAsia="仿宋_GB2312" w:hint="eastAsia"/>
          <w:sz w:val="32"/>
          <w:szCs w:val="32"/>
        </w:rPr>
        <w:t>1</w:t>
      </w:r>
      <w:r w:rsidRPr="00D95273">
        <w:rPr>
          <w:rFonts w:ascii="仿宋_GB2312" w:eastAsia="仿宋_GB2312" w:hint="eastAsia"/>
          <w:sz w:val="32"/>
          <w:szCs w:val="32"/>
        </w:rPr>
        <w:t>年，</w:t>
      </w:r>
      <w:r w:rsidR="00F7304E" w:rsidRPr="00D95273">
        <w:rPr>
          <w:rFonts w:ascii="仿宋_GB2312" w:eastAsia="仿宋_GB2312" w:hint="eastAsia"/>
          <w:sz w:val="32"/>
          <w:szCs w:val="32"/>
        </w:rPr>
        <w:t>中共四川省委政法委员会</w:t>
      </w:r>
      <w:r w:rsidRPr="00D95273">
        <w:rPr>
          <w:rFonts w:ascii="仿宋_GB2312" w:eastAsia="仿宋_GB2312" w:hint="eastAsia"/>
          <w:sz w:val="32"/>
          <w:szCs w:val="32"/>
        </w:rPr>
        <w:t>政府采购支出总额</w:t>
      </w:r>
      <w:r w:rsidR="00D95273" w:rsidRPr="00D95273">
        <w:rPr>
          <w:rFonts w:ascii="仿宋_GB2312" w:eastAsia="仿宋_GB2312" w:hint="eastAsia"/>
          <w:sz w:val="32"/>
          <w:szCs w:val="32"/>
        </w:rPr>
        <w:t>4111.09</w:t>
      </w:r>
      <w:r w:rsidRPr="00D95273">
        <w:rPr>
          <w:rFonts w:ascii="仿宋_GB2312" w:eastAsia="仿宋_GB2312" w:hint="eastAsia"/>
          <w:sz w:val="32"/>
          <w:szCs w:val="32"/>
        </w:rPr>
        <w:t>万元，其中：政府采购货物支出</w:t>
      </w:r>
      <w:r w:rsidR="00D95273" w:rsidRPr="00D95273">
        <w:rPr>
          <w:rFonts w:ascii="仿宋_GB2312" w:eastAsia="仿宋_GB2312" w:hint="eastAsia"/>
          <w:sz w:val="32"/>
          <w:szCs w:val="32"/>
        </w:rPr>
        <w:t>84.04</w:t>
      </w:r>
      <w:r w:rsidRPr="00D95273">
        <w:rPr>
          <w:rFonts w:ascii="仿宋_GB2312" w:eastAsia="仿宋_GB2312" w:hint="eastAsia"/>
          <w:sz w:val="32"/>
          <w:szCs w:val="32"/>
        </w:rPr>
        <w:t>万元、政府采购工程支出</w:t>
      </w:r>
      <w:r w:rsidR="00F7304E" w:rsidRPr="00D95273">
        <w:rPr>
          <w:rFonts w:ascii="仿宋_GB2312" w:eastAsia="仿宋_GB2312" w:hint="eastAsia"/>
          <w:sz w:val="32"/>
          <w:szCs w:val="32"/>
        </w:rPr>
        <w:t>0</w:t>
      </w:r>
      <w:r w:rsidRPr="00D95273">
        <w:rPr>
          <w:rFonts w:ascii="仿宋_GB2312" w:eastAsia="仿宋_GB2312" w:hint="eastAsia"/>
          <w:sz w:val="32"/>
          <w:szCs w:val="32"/>
        </w:rPr>
        <w:t>万元、政府采购服务支出</w:t>
      </w:r>
      <w:r w:rsidR="00D95273" w:rsidRPr="00D95273">
        <w:rPr>
          <w:rFonts w:ascii="仿宋_GB2312" w:eastAsia="仿宋_GB2312" w:hint="eastAsia"/>
          <w:sz w:val="32"/>
          <w:szCs w:val="32"/>
        </w:rPr>
        <w:t>4027.05</w:t>
      </w:r>
      <w:r w:rsidR="001A321C" w:rsidRPr="00D95273">
        <w:rPr>
          <w:rFonts w:ascii="仿宋_GB2312" w:eastAsia="仿宋_GB2312" w:hint="eastAsia"/>
          <w:sz w:val="32"/>
          <w:szCs w:val="32"/>
        </w:rPr>
        <w:t>万元。主要用于信息化建设、物业管理、办公设备购置、公务车加油、维修和保养服务等</w:t>
      </w:r>
      <w:r w:rsidRPr="00D95273">
        <w:rPr>
          <w:rFonts w:ascii="仿宋_GB2312" w:eastAsia="仿宋_GB2312" w:hint="eastAsia"/>
          <w:sz w:val="32"/>
          <w:szCs w:val="32"/>
        </w:rPr>
        <w:t>。授予中小企业合同金额</w:t>
      </w:r>
      <w:r w:rsidR="00D95273" w:rsidRPr="00D95273">
        <w:rPr>
          <w:rFonts w:ascii="仿宋_GB2312" w:eastAsia="仿宋_GB2312" w:hint="eastAsia"/>
          <w:sz w:val="32"/>
          <w:szCs w:val="32"/>
        </w:rPr>
        <w:t>100.72</w:t>
      </w:r>
      <w:r w:rsidRPr="00D95273">
        <w:rPr>
          <w:rFonts w:ascii="仿宋_GB2312" w:eastAsia="仿宋_GB2312" w:hint="eastAsia"/>
          <w:sz w:val="32"/>
          <w:szCs w:val="32"/>
        </w:rPr>
        <w:t>万元，占政府采购支出总额的</w:t>
      </w:r>
      <w:r w:rsidR="00D95273" w:rsidRPr="00D95273">
        <w:rPr>
          <w:rFonts w:ascii="仿宋_GB2312" w:eastAsia="仿宋_GB2312" w:hint="eastAsia"/>
          <w:sz w:val="32"/>
          <w:szCs w:val="32"/>
        </w:rPr>
        <w:t>2.45</w:t>
      </w:r>
      <w:r w:rsidRPr="00D95273">
        <w:rPr>
          <w:rFonts w:ascii="仿宋_GB2312" w:eastAsia="仿宋_GB2312"/>
          <w:sz w:val="32"/>
          <w:szCs w:val="32"/>
        </w:rPr>
        <w:t>%</w:t>
      </w:r>
      <w:r w:rsidRPr="00D95273">
        <w:rPr>
          <w:rFonts w:ascii="仿宋_GB2312" w:eastAsia="仿宋_GB2312" w:hint="eastAsia"/>
          <w:sz w:val="32"/>
          <w:szCs w:val="32"/>
        </w:rPr>
        <w:t>，其中：授予小</w:t>
      </w:r>
      <w:proofErr w:type="gramStart"/>
      <w:r w:rsidRPr="00D95273">
        <w:rPr>
          <w:rFonts w:ascii="仿宋_GB2312" w:eastAsia="仿宋_GB2312" w:hint="eastAsia"/>
          <w:sz w:val="32"/>
          <w:szCs w:val="32"/>
        </w:rPr>
        <w:t>微企业</w:t>
      </w:r>
      <w:proofErr w:type="gramEnd"/>
      <w:r w:rsidRPr="00D95273">
        <w:rPr>
          <w:rFonts w:ascii="仿宋_GB2312" w:eastAsia="仿宋_GB2312" w:hint="eastAsia"/>
          <w:sz w:val="32"/>
          <w:szCs w:val="32"/>
        </w:rPr>
        <w:t>合同金额</w:t>
      </w:r>
      <w:r w:rsidR="00F7304E" w:rsidRPr="00D95273">
        <w:rPr>
          <w:rFonts w:ascii="仿宋_GB2312" w:eastAsia="仿宋_GB2312" w:hint="eastAsia"/>
          <w:sz w:val="32"/>
          <w:szCs w:val="32"/>
        </w:rPr>
        <w:t>0</w:t>
      </w:r>
      <w:r w:rsidRPr="00D95273">
        <w:rPr>
          <w:rFonts w:ascii="仿宋_GB2312" w:eastAsia="仿宋_GB2312" w:hint="eastAsia"/>
          <w:sz w:val="32"/>
          <w:szCs w:val="32"/>
        </w:rPr>
        <w:t>万元，占政府采购支出总额的</w:t>
      </w:r>
      <w:r w:rsidR="00F7304E" w:rsidRPr="00D95273">
        <w:rPr>
          <w:rFonts w:ascii="仿宋_GB2312" w:eastAsia="仿宋_GB2312" w:hint="eastAsia"/>
          <w:sz w:val="32"/>
          <w:szCs w:val="32"/>
        </w:rPr>
        <w:t>0</w:t>
      </w:r>
      <w:r w:rsidRPr="00D95273">
        <w:rPr>
          <w:rFonts w:ascii="仿宋_GB2312" w:eastAsia="仿宋_GB2312"/>
          <w:sz w:val="32"/>
          <w:szCs w:val="32"/>
        </w:rPr>
        <w:t>%</w:t>
      </w:r>
      <w:r w:rsidRPr="00D95273">
        <w:rPr>
          <w:rFonts w:ascii="仿宋_GB2312" w:eastAsia="仿宋_GB2312" w:hint="eastAsia"/>
          <w:sz w:val="32"/>
          <w:szCs w:val="32"/>
        </w:rPr>
        <w:t>。</w:t>
      </w:r>
    </w:p>
    <w:p w:rsidR="00E6420A" w:rsidRDefault="005360AC">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E6420A" w:rsidRDefault="005360AC">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sidR="00054D28">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AA2F0A" w:rsidRPr="00C821E8">
        <w:rPr>
          <w:rFonts w:ascii="仿宋_GB2312" w:eastAsia="仿宋_GB2312" w:hint="eastAsia"/>
          <w:sz w:val="32"/>
          <w:szCs w:val="32"/>
        </w:rPr>
        <w:t>中共四川省委政法委员会</w:t>
      </w:r>
      <w:r>
        <w:rPr>
          <w:rFonts w:ascii="仿宋_GB2312" w:eastAsia="仿宋_GB2312" w:hint="eastAsia"/>
          <w:sz w:val="32"/>
          <w:szCs w:val="32"/>
        </w:rPr>
        <w:t>共有车辆</w:t>
      </w:r>
      <w:r w:rsidR="00AA2F0A">
        <w:rPr>
          <w:rFonts w:ascii="仿宋_GB2312" w:eastAsia="仿宋_GB2312" w:hint="eastAsia"/>
          <w:sz w:val="32"/>
          <w:szCs w:val="32"/>
        </w:rPr>
        <w:t>14</w:t>
      </w:r>
      <w:r>
        <w:rPr>
          <w:rFonts w:ascii="仿宋_GB2312" w:eastAsia="仿宋_GB2312" w:hint="eastAsia"/>
          <w:sz w:val="32"/>
          <w:szCs w:val="32"/>
        </w:rPr>
        <w:t>辆，其中：主要领导干部用车</w:t>
      </w:r>
      <w:r w:rsidR="00AA2F0A">
        <w:rPr>
          <w:rFonts w:ascii="仿宋_GB2312" w:eastAsia="仿宋_GB2312" w:hint="eastAsia"/>
          <w:sz w:val="32"/>
          <w:szCs w:val="32"/>
        </w:rPr>
        <w:t>6</w:t>
      </w:r>
      <w:r>
        <w:rPr>
          <w:rFonts w:ascii="仿宋_GB2312" w:eastAsia="仿宋_GB2312" w:hint="eastAsia"/>
          <w:sz w:val="32"/>
          <w:szCs w:val="32"/>
        </w:rPr>
        <w:t>辆、机要通信用车</w:t>
      </w:r>
      <w:r w:rsidR="00AA2F0A">
        <w:rPr>
          <w:rFonts w:ascii="仿宋_GB2312" w:eastAsia="仿宋_GB2312" w:hint="eastAsia"/>
          <w:sz w:val="32"/>
          <w:szCs w:val="32"/>
        </w:rPr>
        <w:t>1</w:t>
      </w:r>
      <w:r>
        <w:rPr>
          <w:rFonts w:ascii="仿宋_GB2312" w:eastAsia="仿宋_GB2312" w:hint="eastAsia"/>
          <w:sz w:val="32"/>
          <w:szCs w:val="32"/>
        </w:rPr>
        <w:t>辆、应急保障用车</w:t>
      </w:r>
      <w:r w:rsidR="00AA2F0A">
        <w:rPr>
          <w:rFonts w:ascii="仿宋_GB2312" w:eastAsia="仿宋_GB2312" w:hint="eastAsia"/>
          <w:sz w:val="32"/>
          <w:szCs w:val="32"/>
        </w:rPr>
        <w:t>2</w:t>
      </w:r>
      <w:r>
        <w:rPr>
          <w:rFonts w:ascii="仿宋_GB2312" w:eastAsia="仿宋_GB2312" w:hint="eastAsia"/>
          <w:sz w:val="32"/>
          <w:szCs w:val="32"/>
        </w:rPr>
        <w:t>辆、</w:t>
      </w:r>
      <w:r w:rsidR="00054D28">
        <w:rPr>
          <w:rFonts w:ascii="仿宋_GB2312" w:eastAsia="仿宋_GB2312" w:hint="eastAsia"/>
          <w:sz w:val="32"/>
          <w:szCs w:val="32"/>
        </w:rPr>
        <w:t>离退休干部用车1辆、</w:t>
      </w:r>
      <w:r>
        <w:rPr>
          <w:rFonts w:ascii="仿宋_GB2312" w:eastAsia="仿宋_GB2312" w:hint="eastAsia"/>
          <w:sz w:val="32"/>
          <w:szCs w:val="32"/>
        </w:rPr>
        <w:t>其他用车</w:t>
      </w:r>
      <w:r w:rsidR="00054D28">
        <w:rPr>
          <w:rFonts w:ascii="仿宋_GB2312" w:eastAsia="仿宋_GB2312" w:hint="eastAsia"/>
          <w:sz w:val="32"/>
          <w:szCs w:val="32"/>
        </w:rPr>
        <w:t>4</w:t>
      </w:r>
      <w:r>
        <w:rPr>
          <w:rFonts w:ascii="仿宋_GB2312" w:eastAsia="仿宋_GB2312" w:hint="eastAsia"/>
          <w:sz w:val="32"/>
          <w:szCs w:val="32"/>
        </w:rPr>
        <w:t>辆</w:t>
      </w:r>
      <w:r w:rsidR="00FE3A08">
        <w:rPr>
          <w:rFonts w:ascii="仿宋_GB2312" w:eastAsia="仿宋_GB2312" w:hint="eastAsia"/>
          <w:sz w:val="32"/>
          <w:szCs w:val="32"/>
        </w:rPr>
        <w:t>。</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FE3A08">
        <w:rPr>
          <w:rFonts w:ascii="仿宋_GB2312" w:eastAsia="仿宋_GB2312" w:hint="eastAsia"/>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FE3A08">
        <w:rPr>
          <w:rFonts w:ascii="仿宋_GB2312" w:eastAsia="仿宋_GB2312" w:hint="eastAsia"/>
          <w:sz w:val="32"/>
          <w:szCs w:val="32"/>
        </w:rPr>
        <w:t>0</w:t>
      </w:r>
      <w:r>
        <w:rPr>
          <w:rFonts w:ascii="仿宋_GB2312" w:eastAsia="仿宋_GB2312" w:hint="eastAsia"/>
          <w:sz w:val="32"/>
          <w:szCs w:val="32"/>
        </w:rPr>
        <w:t>台（套）。</w:t>
      </w:r>
    </w:p>
    <w:p w:rsidR="00E6420A" w:rsidRDefault="005360AC">
      <w:pPr>
        <w:autoSpaceDE w:val="0"/>
        <w:autoSpaceDN w:val="0"/>
        <w:adjustRightInd w:val="0"/>
        <w:spacing w:line="600" w:lineRule="exact"/>
        <w:ind w:firstLineChars="200" w:firstLine="643"/>
        <w:jc w:val="left"/>
        <w:outlineLvl w:val="2"/>
        <w:rPr>
          <w:rFonts w:ascii="仿宋" w:eastAsia="仿宋" w:hAnsi="仿宋"/>
          <w:b/>
          <w:sz w:val="32"/>
          <w:szCs w:val="32"/>
        </w:rPr>
      </w:pPr>
      <w:r w:rsidRPr="00E45355">
        <w:rPr>
          <w:rFonts w:ascii="仿宋" w:eastAsia="仿宋" w:hAnsi="仿宋" w:hint="eastAsia"/>
          <w:b/>
          <w:sz w:val="32"/>
          <w:szCs w:val="32"/>
        </w:rPr>
        <w:t>（四）预算绩效管理情况</w:t>
      </w:r>
    </w:p>
    <w:p w:rsidR="00D95273" w:rsidRDefault="00D95273" w:rsidP="00D95273">
      <w:pPr>
        <w:spacing w:line="580" w:lineRule="exact"/>
        <w:ind w:firstLineChars="200" w:firstLine="640"/>
        <w:rPr>
          <w:rFonts w:ascii="仿宋_GB2312" w:eastAsia="仿宋_GB2312" w:hAnsi="仿宋_GB2312" w:cs="仿宋_GB2312"/>
          <w:sz w:val="32"/>
          <w:szCs w:val="32"/>
        </w:rPr>
      </w:pPr>
      <w:r w:rsidRPr="008D7414">
        <w:rPr>
          <w:rFonts w:ascii="仿宋_GB2312" w:eastAsia="仿宋_GB2312" w:hAnsi="仿宋_GB2312" w:cs="仿宋_GB2312" w:hint="eastAsia"/>
          <w:sz w:val="32"/>
          <w:szCs w:val="32"/>
        </w:rPr>
        <w:t>根据预算绩效管理要求，本部门在2021年度预算编制阶段，组织对</w:t>
      </w:r>
      <w:r w:rsidRPr="008D7414">
        <w:rPr>
          <w:rFonts w:ascii="仿宋_GB2312" w:eastAsia="仿宋_GB2312" w:hAnsi="仿宋_GB2312" w:cs="仿宋_GB2312" w:hint="eastAsia"/>
          <w:kern w:val="0"/>
          <w:sz w:val="32"/>
          <w:szCs w:val="32"/>
        </w:rPr>
        <w:t>政法大数据平台建设项目</w:t>
      </w:r>
      <w:r w:rsidRPr="008D7414">
        <w:rPr>
          <w:rFonts w:ascii="仿宋_GB2312" w:eastAsia="仿宋_GB2312" w:hAnsi="仿宋_GB2312" w:cs="仿宋_GB2312" w:hint="eastAsia"/>
          <w:sz w:val="32"/>
          <w:szCs w:val="32"/>
        </w:rPr>
        <w:t>1个项目开展了预算事前绩效评估，对</w:t>
      </w:r>
      <w:r>
        <w:rPr>
          <w:rFonts w:ascii="仿宋_GB2312" w:eastAsia="仿宋_GB2312" w:hAnsi="仿宋_GB2312" w:cs="仿宋_GB2312" w:hint="eastAsia"/>
          <w:sz w:val="32"/>
          <w:szCs w:val="32"/>
        </w:rPr>
        <w:t>7</w:t>
      </w:r>
      <w:r w:rsidRPr="008D7414">
        <w:rPr>
          <w:rFonts w:ascii="仿宋_GB2312" w:eastAsia="仿宋_GB2312" w:hAnsi="仿宋_GB2312" w:cs="仿宋_GB2312" w:hint="eastAsia"/>
          <w:sz w:val="32"/>
          <w:szCs w:val="32"/>
        </w:rPr>
        <w:t>个项目编制了绩效目标，预算执行过程</w:t>
      </w:r>
      <w:r w:rsidRPr="008D7414">
        <w:rPr>
          <w:rFonts w:ascii="仿宋_GB2312" w:eastAsia="仿宋_GB2312" w:hAnsi="仿宋_GB2312" w:cs="仿宋_GB2312" w:hint="eastAsia"/>
          <w:sz w:val="32"/>
          <w:szCs w:val="32"/>
        </w:rPr>
        <w:lastRenderedPageBreak/>
        <w:t>中，选取</w:t>
      </w:r>
      <w:r>
        <w:rPr>
          <w:rFonts w:ascii="仿宋_GB2312" w:eastAsia="仿宋_GB2312" w:hAnsi="仿宋_GB2312" w:cs="仿宋_GB2312" w:hint="eastAsia"/>
          <w:sz w:val="32"/>
          <w:szCs w:val="32"/>
        </w:rPr>
        <w:t>7</w:t>
      </w:r>
      <w:r w:rsidRPr="008D7414">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7</w:t>
      </w:r>
      <w:r w:rsidRPr="008D7414">
        <w:rPr>
          <w:rFonts w:ascii="仿宋_GB2312" w:eastAsia="仿宋_GB2312" w:hAnsi="仿宋_GB2312" w:cs="仿宋_GB2312" w:hint="eastAsia"/>
          <w:sz w:val="32"/>
          <w:szCs w:val="32"/>
        </w:rPr>
        <w:t>个项目开展了绩效自评。同时，本部门对2021年部门整体开展绩效自评，</w:t>
      </w:r>
      <w:r w:rsidR="003A0B8C">
        <w:rPr>
          <w:rFonts w:ascii="仿宋_GB2312" w:eastAsia="仿宋_GB2312" w:hAnsi="仿宋_GB2312" w:cs="仿宋_GB2312" w:hint="eastAsia"/>
          <w:sz w:val="32"/>
          <w:szCs w:val="32"/>
        </w:rPr>
        <w:t>2021年特定目标类部门预算项目绩效目标自评表见附件</w:t>
      </w:r>
      <w:r w:rsidRPr="008D7414">
        <w:rPr>
          <w:rFonts w:ascii="仿宋_GB2312" w:eastAsia="仿宋_GB2312" w:hAnsi="仿宋_GB2312" w:cs="仿宋_GB2312" w:hint="eastAsia"/>
          <w:sz w:val="32"/>
          <w:szCs w:val="32"/>
        </w:rPr>
        <w:t>（第四部分）。</w:t>
      </w:r>
    </w:p>
    <w:p w:rsidR="00E6420A" w:rsidRDefault="005360AC" w:rsidP="00FA1E28">
      <w:pPr>
        <w:numPr>
          <w:ilvl w:val="0"/>
          <w:numId w:val="4"/>
        </w:numPr>
        <w:spacing w:line="600" w:lineRule="exact"/>
        <w:ind w:firstLineChars="150" w:firstLine="660"/>
        <w:jc w:val="center"/>
        <w:outlineLvl w:val="0"/>
        <w:rPr>
          <w:rStyle w:val="1Char"/>
          <w:rFonts w:ascii="黑体" w:eastAsia="黑体" w:hAnsi="黑体"/>
          <w:b w:val="0"/>
        </w:rPr>
      </w:pPr>
      <w:bookmarkStart w:id="49" w:name="_Toc15377225"/>
      <w:bookmarkStart w:id="50" w:name="_Toc15396613"/>
      <w:r>
        <w:rPr>
          <w:rFonts w:ascii="黑体" w:eastAsia="黑体" w:hAnsi="黑体" w:hint="eastAsia"/>
          <w:color w:val="000000"/>
          <w:sz w:val="44"/>
          <w:szCs w:val="44"/>
        </w:rPr>
        <w:t>名</w:t>
      </w:r>
      <w:r>
        <w:rPr>
          <w:rStyle w:val="1Char"/>
          <w:rFonts w:ascii="黑体" w:eastAsia="黑体" w:hAnsi="黑体" w:hint="eastAsia"/>
          <w:b w:val="0"/>
        </w:rPr>
        <w:t>词解释</w:t>
      </w:r>
      <w:bookmarkEnd w:id="49"/>
      <w:bookmarkEnd w:id="50"/>
    </w:p>
    <w:p w:rsidR="00E6420A" w:rsidRDefault="00E6420A">
      <w:pPr>
        <w:spacing w:line="600" w:lineRule="exact"/>
        <w:jc w:val="left"/>
        <w:rPr>
          <w:rFonts w:ascii="宋体"/>
          <w:b/>
          <w:color w:val="000000"/>
          <w:sz w:val="44"/>
          <w:szCs w:val="44"/>
        </w:rPr>
      </w:pPr>
    </w:p>
    <w:p w:rsidR="00FA1E28" w:rsidRPr="00EE6DBA" w:rsidRDefault="00FA1E28" w:rsidP="00FA1E28">
      <w:pPr>
        <w:pStyle w:val="Default"/>
        <w:spacing w:line="580" w:lineRule="exact"/>
        <w:ind w:firstLineChars="200" w:firstLine="640"/>
        <w:jc w:val="both"/>
        <w:rPr>
          <w:rFonts w:ascii="仿宋_GB2312" w:eastAsia="仿宋_GB2312"/>
          <w:sz w:val="32"/>
          <w:szCs w:val="32"/>
        </w:rPr>
      </w:pPr>
      <w:bookmarkStart w:id="51" w:name="_Toc15396614"/>
      <w:bookmarkStart w:id="52" w:name="_Toc15377226"/>
      <w:r w:rsidRPr="00EE6DBA">
        <w:rPr>
          <w:rFonts w:ascii="仿宋_GB2312" w:eastAsia="仿宋_GB2312" w:hint="eastAsia"/>
          <w:sz w:val="32"/>
          <w:szCs w:val="32"/>
        </w:rPr>
        <w:t>1</w:t>
      </w:r>
      <w:r>
        <w:rPr>
          <w:rFonts w:ascii="仿宋_GB2312" w:eastAsia="仿宋_GB2312" w:hint="eastAsia"/>
          <w:sz w:val="32"/>
          <w:szCs w:val="32"/>
        </w:rPr>
        <w:t>．</w:t>
      </w:r>
      <w:r w:rsidRPr="00EE6DBA">
        <w:rPr>
          <w:rFonts w:ascii="仿宋_GB2312" w:eastAsia="仿宋_GB2312" w:hint="eastAsia"/>
          <w:sz w:val="32"/>
          <w:szCs w:val="32"/>
        </w:rPr>
        <w:t>财政拨款收入：指单位从同级财政部门取得的财政预算资金。</w:t>
      </w:r>
    </w:p>
    <w:p w:rsidR="00FA1E28" w:rsidRPr="00EE6DBA" w:rsidRDefault="00020877" w:rsidP="00FA1E28">
      <w:pPr>
        <w:pStyle w:val="Default"/>
        <w:spacing w:line="580" w:lineRule="exact"/>
        <w:ind w:firstLineChars="200" w:firstLine="640"/>
        <w:jc w:val="both"/>
        <w:rPr>
          <w:rFonts w:ascii="仿宋_GB2312" w:eastAsia="仿宋_GB2312"/>
          <w:sz w:val="32"/>
          <w:szCs w:val="32"/>
        </w:rPr>
      </w:pPr>
      <w:r>
        <w:rPr>
          <w:rFonts w:ascii="仿宋_GB2312" w:eastAsia="仿宋_GB2312" w:hint="eastAsia"/>
          <w:sz w:val="32"/>
          <w:szCs w:val="32"/>
        </w:rPr>
        <w:t>2</w:t>
      </w:r>
      <w:r w:rsidR="00FA1E28">
        <w:rPr>
          <w:rFonts w:ascii="仿宋_GB2312" w:eastAsia="仿宋_GB2312" w:hint="eastAsia"/>
          <w:sz w:val="32"/>
          <w:szCs w:val="32"/>
        </w:rPr>
        <w:t>．</w:t>
      </w:r>
      <w:r w:rsidR="00FA1E28" w:rsidRPr="00EE6DBA">
        <w:rPr>
          <w:rFonts w:ascii="仿宋_GB2312" w:eastAsia="仿宋_GB2312" w:hint="eastAsia"/>
          <w:sz w:val="32"/>
          <w:szCs w:val="32"/>
        </w:rPr>
        <w:t>其他收入：指单位取得的除上述收入以外的各项收入。</w:t>
      </w:r>
    </w:p>
    <w:p w:rsidR="00CF63D2" w:rsidRDefault="00020877" w:rsidP="00FA1E28">
      <w:pPr>
        <w:pStyle w:val="Default"/>
        <w:spacing w:line="580" w:lineRule="exact"/>
        <w:ind w:firstLineChars="200" w:firstLine="640"/>
        <w:jc w:val="both"/>
        <w:rPr>
          <w:rFonts w:ascii="仿宋_GB2312" w:eastAsia="仿宋_GB2312" w:cs="仿宋_GB2312"/>
          <w:sz w:val="32"/>
          <w:szCs w:val="32"/>
        </w:rPr>
      </w:pPr>
      <w:r>
        <w:rPr>
          <w:rFonts w:ascii="仿宋_GB2312" w:eastAsia="仿宋_GB2312" w:hint="eastAsia"/>
          <w:sz w:val="32"/>
          <w:szCs w:val="32"/>
        </w:rPr>
        <w:t>3</w:t>
      </w:r>
      <w:r w:rsidR="00CF63D2">
        <w:rPr>
          <w:rFonts w:ascii="仿宋_GB2312" w:eastAsia="仿宋_GB2312" w:hint="eastAsia"/>
          <w:sz w:val="32"/>
          <w:szCs w:val="32"/>
        </w:rPr>
        <w:t>．</w:t>
      </w:r>
      <w:r w:rsidR="00CF63D2" w:rsidRPr="00EE6DBA">
        <w:rPr>
          <w:rFonts w:ascii="仿宋_GB2312" w:eastAsia="仿宋_GB2312" w:hint="eastAsia"/>
          <w:sz w:val="32"/>
          <w:szCs w:val="32"/>
        </w:rPr>
        <w:t>年初结转和结余：指以前年度尚未完成、结转到本年按有关规定继续使用的资金。</w:t>
      </w:r>
    </w:p>
    <w:p w:rsidR="00FA1E28" w:rsidRPr="00EE6DBA" w:rsidRDefault="00020877" w:rsidP="00FA1E28">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4</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一般公共服务（类）其他一般公共服务支出（款）其他一般公共服务支出（项）:指主要用于四川省省直机关汽车大修支出。</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5</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公共安全支出（类）公安（款）行政运行（项）:指主要用于在职在编人员基本工资、津贴补贴，保障机关正常运转的日常公用支出。</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6</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公共安全支出（类）公安（款）一般行政管理事务（项）:指主要用于有序开展反</w:t>
      </w:r>
      <w:proofErr w:type="gramStart"/>
      <w:r w:rsidR="00FA1E28" w:rsidRPr="00EE6DBA">
        <w:rPr>
          <w:rFonts w:ascii="仿宋_GB2312" w:eastAsia="仿宋_GB2312" w:cs="仿宋_GB2312" w:hint="eastAsia"/>
          <w:sz w:val="32"/>
          <w:szCs w:val="32"/>
        </w:rPr>
        <w:t>恐维稳</w:t>
      </w:r>
      <w:proofErr w:type="gramEnd"/>
      <w:r w:rsidR="00FA1E28" w:rsidRPr="00EE6DBA">
        <w:rPr>
          <w:rFonts w:ascii="仿宋_GB2312" w:eastAsia="仿宋_GB2312" w:cs="仿宋_GB2312" w:hint="eastAsia"/>
          <w:sz w:val="32"/>
          <w:szCs w:val="32"/>
        </w:rPr>
        <w:t>、社会治安综合治理、司法体制和社会体制改革、依法治省、政法队伍建设、政法部门服务保障经济发展、信息化</w:t>
      </w:r>
      <w:r w:rsidR="00725356">
        <w:rPr>
          <w:rFonts w:ascii="仿宋_GB2312" w:eastAsia="仿宋_GB2312" w:cs="仿宋_GB2312" w:hint="eastAsia"/>
          <w:sz w:val="32"/>
          <w:szCs w:val="32"/>
        </w:rPr>
        <w:t>运行维护</w:t>
      </w:r>
      <w:r w:rsidR="00FA1E28" w:rsidRPr="00EE6DBA">
        <w:rPr>
          <w:rFonts w:ascii="仿宋_GB2312" w:eastAsia="仿宋_GB2312" w:cs="仿宋_GB2312" w:hint="eastAsia"/>
          <w:sz w:val="32"/>
          <w:szCs w:val="32"/>
        </w:rPr>
        <w:t>等重点工作。</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7</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社会保障和就业支出（类）</w:t>
      </w:r>
      <w:r w:rsidR="00725356" w:rsidRPr="00725356">
        <w:rPr>
          <w:rFonts w:ascii="仿宋_GB2312" w:eastAsia="仿宋_GB2312" w:cs="仿宋_GB2312" w:hint="eastAsia"/>
          <w:sz w:val="32"/>
          <w:szCs w:val="32"/>
        </w:rPr>
        <w:t>行政事业单位养老支出</w:t>
      </w:r>
      <w:r w:rsidR="00FA1E28" w:rsidRPr="00EE6DBA">
        <w:rPr>
          <w:rFonts w:ascii="仿宋_GB2312" w:eastAsia="仿宋_GB2312" w:cs="仿宋_GB2312" w:hint="eastAsia"/>
          <w:sz w:val="32"/>
          <w:szCs w:val="32"/>
        </w:rPr>
        <w:lastRenderedPageBreak/>
        <w:t>（款）</w:t>
      </w:r>
      <w:r w:rsidR="00CF63D2" w:rsidRPr="00CF63D2">
        <w:rPr>
          <w:rFonts w:ascii="仿宋_GB2312" w:eastAsia="仿宋_GB2312" w:cs="仿宋_GB2312" w:hint="eastAsia"/>
          <w:sz w:val="32"/>
          <w:szCs w:val="32"/>
        </w:rPr>
        <w:t>行政单位离退休</w:t>
      </w:r>
      <w:r w:rsidR="00FA1E28" w:rsidRPr="00EE6DBA">
        <w:rPr>
          <w:rFonts w:ascii="仿宋_GB2312" w:eastAsia="仿宋_GB2312" w:cs="仿宋_GB2312" w:hint="eastAsia"/>
          <w:sz w:val="32"/>
          <w:szCs w:val="32"/>
        </w:rPr>
        <w:t>（项）:指主要用于离退休人员离退休费和津补贴。</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8</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社会保障和就业支出（类）</w:t>
      </w:r>
      <w:r w:rsidR="00725356" w:rsidRPr="00725356">
        <w:rPr>
          <w:rFonts w:ascii="仿宋_GB2312" w:eastAsia="仿宋_GB2312" w:cs="仿宋_GB2312" w:hint="eastAsia"/>
          <w:sz w:val="32"/>
          <w:szCs w:val="32"/>
        </w:rPr>
        <w:t>行政事业单位养老支出</w:t>
      </w:r>
      <w:r w:rsidR="00FA1E28" w:rsidRPr="00EE6DBA">
        <w:rPr>
          <w:rFonts w:ascii="仿宋_GB2312" w:eastAsia="仿宋_GB2312" w:cs="仿宋_GB2312" w:hint="eastAsia"/>
          <w:sz w:val="32"/>
          <w:szCs w:val="32"/>
        </w:rPr>
        <w:t>（款）</w:t>
      </w:r>
      <w:r w:rsidR="00CF63D2" w:rsidRPr="00CF63D2">
        <w:rPr>
          <w:rFonts w:ascii="仿宋_GB2312" w:eastAsia="仿宋_GB2312" w:cs="仿宋_GB2312" w:hint="eastAsia"/>
          <w:sz w:val="32"/>
          <w:szCs w:val="32"/>
        </w:rPr>
        <w:t>机关事业单位基本养老保险缴费支出</w:t>
      </w:r>
      <w:r w:rsidR="00FA1E28" w:rsidRPr="00EE6DBA">
        <w:rPr>
          <w:rFonts w:ascii="仿宋_GB2312" w:eastAsia="仿宋_GB2312" w:cs="仿宋_GB2312" w:hint="eastAsia"/>
          <w:sz w:val="32"/>
          <w:szCs w:val="32"/>
        </w:rPr>
        <w:t>（项）:指主要用于</w:t>
      </w:r>
      <w:r w:rsidR="00CF63D2" w:rsidRPr="00CF63D2">
        <w:rPr>
          <w:rFonts w:ascii="仿宋_GB2312" w:eastAsia="仿宋_GB2312" w:cs="仿宋_GB2312" w:hint="eastAsia"/>
          <w:sz w:val="32"/>
          <w:szCs w:val="32"/>
        </w:rPr>
        <w:t>单位基本养老保险缴费</w:t>
      </w:r>
      <w:r w:rsidR="00CF63D2">
        <w:rPr>
          <w:rFonts w:ascii="仿宋_GB2312" w:eastAsia="仿宋_GB2312" w:cs="仿宋_GB2312" w:hint="eastAsia"/>
          <w:sz w:val="32"/>
          <w:szCs w:val="32"/>
        </w:rPr>
        <w:t>。</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9</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社会保障和就业支出（类）</w:t>
      </w:r>
      <w:r w:rsidR="00CF63D2" w:rsidRPr="00CF63D2">
        <w:rPr>
          <w:rFonts w:ascii="仿宋_GB2312" w:eastAsia="仿宋_GB2312" w:cs="仿宋_GB2312" w:hint="eastAsia"/>
          <w:sz w:val="32"/>
          <w:szCs w:val="32"/>
        </w:rPr>
        <w:t>行政事业单位养老支出</w:t>
      </w:r>
      <w:r w:rsidR="00FA1E28" w:rsidRPr="00EE6DBA">
        <w:rPr>
          <w:rFonts w:ascii="仿宋_GB2312" w:eastAsia="仿宋_GB2312" w:cs="仿宋_GB2312" w:hint="eastAsia"/>
          <w:sz w:val="32"/>
          <w:szCs w:val="32"/>
        </w:rPr>
        <w:t>（款）</w:t>
      </w:r>
      <w:r w:rsidR="00CF63D2" w:rsidRPr="00CF63D2">
        <w:rPr>
          <w:rFonts w:ascii="仿宋_GB2312" w:eastAsia="仿宋_GB2312" w:cs="仿宋_GB2312" w:hint="eastAsia"/>
          <w:sz w:val="32"/>
          <w:szCs w:val="32"/>
        </w:rPr>
        <w:t>机关事业单位职业年金缴费支出</w:t>
      </w:r>
      <w:r w:rsidR="00FA1E28" w:rsidRPr="00EE6DBA">
        <w:rPr>
          <w:rFonts w:ascii="仿宋_GB2312" w:eastAsia="仿宋_GB2312" w:cs="仿宋_GB2312" w:hint="eastAsia"/>
          <w:sz w:val="32"/>
          <w:szCs w:val="32"/>
        </w:rPr>
        <w:t>（项）:</w:t>
      </w:r>
      <w:r w:rsidR="00CF63D2" w:rsidRPr="00CF63D2">
        <w:rPr>
          <w:rFonts w:ascii="仿宋_GB2312" w:eastAsia="仿宋_GB2312" w:cs="仿宋_GB2312" w:hint="eastAsia"/>
          <w:sz w:val="32"/>
          <w:szCs w:val="32"/>
        </w:rPr>
        <w:t xml:space="preserve"> </w:t>
      </w:r>
      <w:r w:rsidR="00CF63D2" w:rsidRPr="00EE6DBA">
        <w:rPr>
          <w:rFonts w:ascii="仿宋_GB2312" w:eastAsia="仿宋_GB2312" w:cs="仿宋_GB2312" w:hint="eastAsia"/>
          <w:sz w:val="32"/>
          <w:szCs w:val="32"/>
        </w:rPr>
        <w:t>指主要用于</w:t>
      </w:r>
      <w:r w:rsidR="00CF63D2" w:rsidRPr="00CF63D2">
        <w:rPr>
          <w:rFonts w:ascii="仿宋_GB2312" w:eastAsia="仿宋_GB2312" w:cs="仿宋_GB2312" w:hint="eastAsia"/>
          <w:sz w:val="32"/>
          <w:szCs w:val="32"/>
        </w:rPr>
        <w:t>单位职业年金缴费</w:t>
      </w:r>
      <w:r w:rsidR="00CF63D2">
        <w:rPr>
          <w:rFonts w:ascii="仿宋_GB2312" w:eastAsia="仿宋_GB2312" w:cs="仿宋_GB2312" w:hint="eastAsia"/>
          <w:sz w:val="32"/>
          <w:szCs w:val="32"/>
        </w:rPr>
        <w:t>。</w:t>
      </w:r>
      <w:r w:rsidR="00CF63D2"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w:t>
      </w:r>
      <w:r w:rsidR="00CF63D2" w:rsidRPr="00EE6DBA">
        <w:rPr>
          <w:rFonts w:ascii="仿宋_GB2312" w:eastAsia="仿宋_GB2312" w:cs="仿宋_GB2312" w:hint="eastAsia"/>
          <w:sz w:val="32"/>
          <w:szCs w:val="32"/>
        </w:rPr>
        <w:t>1</w:t>
      </w:r>
      <w:r>
        <w:rPr>
          <w:rFonts w:ascii="仿宋_GB2312" w:eastAsia="仿宋_GB2312" w:cs="仿宋_GB2312" w:hint="eastAsia"/>
          <w:sz w:val="32"/>
          <w:szCs w:val="32"/>
        </w:rPr>
        <w:t>0</w:t>
      </w:r>
      <w:r w:rsidR="00CF63D2">
        <w:rPr>
          <w:rFonts w:ascii="仿宋_GB2312" w:eastAsia="仿宋_GB2312" w:cs="仿宋_GB2312" w:hint="eastAsia"/>
          <w:sz w:val="32"/>
          <w:szCs w:val="32"/>
        </w:rPr>
        <w:t>．</w:t>
      </w:r>
      <w:r w:rsidR="00CF63D2" w:rsidRPr="00EE6DBA">
        <w:rPr>
          <w:rFonts w:ascii="仿宋_GB2312" w:eastAsia="仿宋_GB2312" w:cs="仿宋_GB2312" w:hint="eastAsia"/>
          <w:sz w:val="32"/>
          <w:szCs w:val="32"/>
        </w:rPr>
        <w:t>社会保障和就业支出（类）</w:t>
      </w:r>
      <w:r w:rsidR="00CF63D2" w:rsidRPr="00CF63D2">
        <w:rPr>
          <w:rFonts w:ascii="仿宋_GB2312" w:eastAsia="仿宋_GB2312" w:cs="仿宋_GB2312" w:hint="eastAsia"/>
          <w:sz w:val="32"/>
          <w:szCs w:val="32"/>
        </w:rPr>
        <w:t>抚恤</w:t>
      </w:r>
      <w:r w:rsidR="00CF63D2" w:rsidRPr="00EE6DBA">
        <w:rPr>
          <w:rFonts w:ascii="仿宋_GB2312" w:eastAsia="仿宋_GB2312" w:cs="仿宋_GB2312" w:hint="eastAsia"/>
          <w:sz w:val="32"/>
          <w:szCs w:val="32"/>
        </w:rPr>
        <w:t>（款）</w:t>
      </w:r>
      <w:r w:rsidR="00CF63D2" w:rsidRPr="00CF63D2">
        <w:rPr>
          <w:rFonts w:ascii="仿宋_GB2312" w:eastAsia="仿宋_GB2312" w:cs="仿宋_GB2312" w:hint="eastAsia"/>
          <w:sz w:val="32"/>
          <w:szCs w:val="32"/>
        </w:rPr>
        <w:t>死亡抚恤</w:t>
      </w:r>
      <w:r w:rsidR="00CF63D2" w:rsidRPr="00EE6DBA">
        <w:rPr>
          <w:rFonts w:ascii="仿宋_GB2312" w:eastAsia="仿宋_GB2312" w:cs="仿宋_GB2312" w:hint="eastAsia"/>
          <w:sz w:val="32"/>
          <w:szCs w:val="32"/>
        </w:rPr>
        <w:t>（项）:指用于</w:t>
      </w:r>
      <w:r w:rsidR="00CF63D2">
        <w:rPr>
          <w:rFonts w:ascii="仿宋_GB2312" w:eastAsia="仿宋_GB2312" w:cs="仿宋_GB2312" w:hint="eastAsia"/>
          <w:sz w:val="32"/>
          <w:szCs w:val="32"/>
        </w:rPr>
        <w:t>单位人员抚恤开支。</w:t>
      </w:r>
      <w:r w:rsidR="00CF63D2" w:rsidRPr="00EE6DBA">
        <w:rPr>
          <w:rFonts w:ascii="仿宋_GB2312" w:eastAsia="仿宋_GB2312" w:cs="Times New Roman" w:hint="eastAsia"/>
          <w:sz w:val="32"/>
          <w:szCs w:val="32"/>
        </w:rPr>
        <w:br/>
      </w:r>
      <w:r w:rsidR="00CF63D2">
        <w:rPr>
          <w:rFonts w:ascii="仿宋_GB2312" w:eastAsia="仿宋_GB2312" w:cs="仿宋_GB2312" w:hint="eastAsia"/>
          <w:sz w:val="32"/>
          <w:szCs w:val="32"/>
        </w:rPr>
        <w:t xml:space="preserve">    </w:t>
      </w:r>
      <w:r w:rsidR="00FA1E28" w:rsidRPr="00EE6DBA">
        <w:rPr>
          <w:rFonts w:ascii="仿宋_GB2312" w:eastAsia="仿宋_GB2312" w:cs="仿宋_GB2312" w:hint="eastAsia"/>
          <w:sz w:val="32"/>
          <w:szCs w:val="32"/>
        </w:rPr>
        <w:t>1</w:t>
      </w:r>
      <w:r>
        <w:rPr>
          <w:rFonts w:ascii="仿宋_GB2312" w:eastAsia="仿宋_GB2312" w:cs="仿宋_GB2312" w:hint="eastAsia"/>
          <w:sz w:val="32"/>
          <w:szCs w:val="32"/>
        </w:rPr>
        <w:t>1</w:t>
      </w:r>
      <w:r w:rsidR="00FA1E28">
        <w:rPr>
          <w:rFonts w:ascii="仿宋_GB2312" w:eastAsia="仿宋_GB2312" w:cs="仿宋_GB2312" w:hint="eastAsia"/>
          <w:sz w:val="32"/>
          <w:szCs w:val="32"/>
        </w:rPr>
        <w:t>．</w:t>
      </w:r>
      <w:r w:rsidR="00CF63D2" w:rsidRPr="00CF63D2">
        <w:rPr>
          <w:rFonts w:ascii="仿宋_GB2312" w:eastAsia="仿宋_GB2312" w:cs="仿宋_GB2312" w:hint="eastAsia"/>
          <w:sz w:val="32"/>
          <w:szCs w:val="32"/>
        </w:rPr>
        <w:t>卫生健康支出</w:t>
      </w:r>
      <w:r w:rsidR="00FA1E28" w:rsidRPr="00EE6DBA">
        <w:rPr>
          <w:rFonts w:ascii="仿宋_GB2312" w:eastAsia="仿宋_GB2312" w:cs="仿宋_GB2312" w:hint="eastAsia"/>
          <w:sz w:val="32"/>
          <w:szCs w:val="32"/>
        </w:rPr>
        <w:t>（类）</w:t>
      </w:r>
      <w:r w:rsidR="00CF63D2" w:rsidRPr="00CF63D2">
        <w:rPr>
          <w:rFonts w:ascii="仿宋_GB2312" w:eastAsia="仿宋_GB2312" w:cs="仿宋_GB2312" w:hint="eastAsia"/>
          <w:sz w:val="32"/>
          <w:szCs w:val="32"/>
        </w:rPr>
        <w:t>行政事业单位医疗</w:t>
      </w:r>
      <w:r w:rsidR="00FA1E28" w:rsidRPr="00EE6DBA">
        <w:rPr>
          <w:rFonts w:ascii="仿宋_GB2312" w:eastAsia="仿宋_GB2312" w:cs="仿宋_GB2312" w:hint="eastAsia"/>
          <w:sz w:val="32"/>
          <w:szCs w:val="32"/>
        </w:rPr>
        <w:t>（款）</w:t>
      </w:r>
      <w:r w:rsidR="00CF63D2" w:rsidRPr="00CF63D2">
        <w:rPr>
          <w:rFonts w:ascii="仿宋_GB2312" w:eastAsia="仿宋_GB2312" w:cs="仿宋_GB2312" w:hint="eastAsia"/>
          <w:sz w:val="32"/>
          <w:szCs w:val="32"/>
        </w:rPr>
        <w:t>行政单位医疗</w:t>
      </w:r>
      <w:r w:rsidR="00FA1E28" w:rsidRPr="00EE6DBA">
        <w:rPr>
          <w:rFonts w:ascii="仿宋_GB2312" w:eastAsia="仿宋_GB2312" w:cs="仿宋_GB2312" w:hint="eastAsia"/>
          <w:sz w:val="32"/>
          <w:szCs w:val="32"/>
        </w:rPr>
        <w:t>（项）：指</w:t>
      </w:r>
      <w:r w:rsidR="00CF63D2">
        <w:rPr>
          <w:rFonts w:ascii="仿宋_GB2312" w:eastAsia="仿宋_GB2312" w:cs="仿宋_GB2312" w:hint="eastAsia"/>
          <w:sz w:val="32"/>
          <w:szCs w:val="32"/>
        </w:rPr>
        <w:t>用于</w:t>
      </w:r>
      <w:r w:rsidR="00FA1E28" w:rsidRPr="00EE6DBA">
        <w:rPr>
          <w:rFonts w:ascii="仿宋_GB2312" w:eastAsia="仿宋_GB2312" w:cs="仿宋_GB2312" w:hint="eastAsia"/>
          <w:sz w:val="32"/>
          <w:szCs w:val="32"/>
        </w:rPr>
        <w:t>单位基本医疗保险缴费经费。</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1</w:t>
      </w:r>
      <w:r>
        <w:rPr>
          <w:rFonts w:ascii="仿宋_GB2312" w:eastAsia="仿宋_GB2312" w:cs="仿宋_GB2312" w:hint="eastAsia"/>
          <w:sz w:val="32"/>
          <w:szCs w:val="32"/>
        </w:rPr>
        <w:t>2</w:t>
      </w:r>
      <w:r w:rsidR="00FA1E28">
        <w:rPr>
          <w:rFonts w:ascii="仿宋_GB2312" w:eastAsia="仿宋_GB2312" w:cs="仿宋_GB2312" w:hint="eastAsia"/>
          <w:sz w:val="32"/>
          <w:szCs w:val="32"/>
        </w:rPr>
        <w:t>．</w:t>
      </w:r>
      <w:r w:rsidR="00CF63D2" w:rsidRPr="00CF63D2">
        <w:rPr>
          <w:rFonts w:ascii="仿宋_GB2312" w:eastAsia="仿宋_GB2312" w:cs="仿宋_GB2312" w:hint="eastAsia"/>
          <w:sz w:val="32"/>
          <w:szCs w:val="32"/>
        </w:rPr>
        <w:t>卫生健康支出</w:t>
      </w:r>
      <w:r w:rsidR="00FA1E28" w:rsidRPr="00EE6DBA">
        <w:rPr>
          <w:rFonts w:ascii="仿宋_GB2312" w:eastAsia="仿宋_GB2312" w:cs="仿宋_GB2312" w:hint="eastAsia"/>
          <w:sz w:val="32"/>
          <w:szCs w:val="32"/>
        </w:rPr>
        <w:t>（类）</w:t>
      </w:r>
      <w:r w:rsidR="00CF63D2" w:rsidRPr="00CF63D2">
        <w:rPr>
          <w:rFonts w:ascii="仿宋_GB2312" w:eastAsia="仿宋_GB2312" w:cs="仿宋_GB2312" w:hint="eastAsia"/>
          <w:sz w:val="32"/>
          <w:szCs w:val="32"/>
        </w:rPr>
        <w:t>行政事业单位医疗</w:t>
      </w:r>
      <w:r w:rsidR="00FA1E28" w:rsidRPr="00EE6DBA">
        <w:rPr>
          <w:rFonts w:ascii="仿宋_GB2312" w:eastAsia="仿宋_GB2312" w:cs="仿宋_GB2312" w:hint="eastAsia"/>
          <w:sz w:val="32"/>
          <w:szCs w:val="32"/>
        </w:rPr>
        <w:t>（款）公务员医疗补助（项）:指</w:t>
      </w:r>
      <w:r w:rsidR="00CF63D2">
        <w:rPr>
          <w:rFonts w:ascii="仿宋_GB2312" w:eastAsia="仿宋_GB2312" w:cs="仿宋_GB2312" w:hint="eastAsia"/>
          <w:sz w:val="32"/>
          <w:szCs w:val="32"/>
        </w:rPr>
        <w:t>用于</w:t>
      </w:r>
      <w:r w:rsidR="00FA1E28" w:rsidRPr="00EE6DBA">
        <w:rPr>
          <w:rFonts w:ascii="仿宋_GB2312" w:eastAsia="仿宋_GB2312" w:cs="仿宋_GB2312" w:hint="eastAsia"/>
          <w:sz w:val="32"/>
          <w:szCs w:val="32"/>
        </w:rPr>
        <w:t>公务员医疗补助经费。</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1</w:t>
      </w:r>
      <w:r>
        <w:rPr>
          <w:rFonts w:ascii="仿宋_GB2312" w:eastAsia="仿宋_GB2312" w:cs="仿宋_GB2312" w:hint="eastAsia"/>
          <w:sz w:val="32"/>
          <w:szCs w:val="32"/>
        </w:rPr>
        <w:t>3</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住房保障支出（类）住房改革支出（款）住房公积金（项）:指按照相关政策规定比例为个人缴纳的住房公积金。</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1</w:t>
      </w:r>
      <w:r>
        <w:rPr>
          <w:rFonts w:ascii="仿宋_GB2312" w:eastAsia="仿宋_GB2312" w:cs="仿宋_GB2312" w:hint="eastAsia"/>
          <w:sz w:val="32"/>
          <w:szCs w:val="32"/>
        </w:rPr>
        <w:t>4</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住房保障支出（类）住房改革支出（款）购房补贴（项）:指按照相关政策规定，向符合条件的个人发放的用于购买住房的补贴。</w:t>
      </w:r>
    </w:p>
    <w:p w:rsidR="00FA1E28" w:rsidRPr="00EE6DBA" w:rsidRDefault="00FA1E28" w:rsidP="00FA1E28">
      <w:pPr>
        <w:spacing w:line="580" w:lineRule="exact"/>
        <w:ind w:firstLineChars="200" w:firstLine="640"/>
        <w:rPr>
          <w:rFonts w:ascii="仿宋_GB2312" w:eastAsia="仿宋_GB2312"/>
          <w:color w:val="000000"/>
          <w:sz w:val="32"/>
          <w:szCs w:val="32"/>
        </w:rPr>
      </w:pPr>
      <w:r w:rsidRPr="00EE6DBA">
        <w:rPr>
          <w:rFonts w:ascii="仿宋_GB2312" w:eastAsia="仿宋_GB2312" w:cs="仿宋_GB2312" w:hint="eastAsia"/>
          <w:color w:val="000000"/>
          <w:sz w:val="32"/>
          <w:szCs w:val="32"/>
        </w:rPr>
        <w:t>1</w:t>
      </w:r>
      <w:r w:rsidR="00020877">
        <w:rPr>
          <w:rFonts w:ascii="仿宋_GB2312" w:eastAsia="仿宋_GB2312" w:cs="仿宋_GB2312" w:hint="eastAsia"/>
          <w:color w:val="000000"/>
          <w:sz w:val="32"/>
          <w:szCs w:val="32"/>
        </w:rPr>
        <w:t>5</w:t>
      </w:r>
      <w:r>
        <w:rPr>
          <w:rFonts w:ascii="仿宋_GB2312" w:eastAsia="仿宋_GB2312" w:cs="仿宋_GB2312" w:hint="eastAsia"/>
          <w:color w:val="000000"/>
          <w:sz w:val="32"/>
          <w:szCs w:val="32"/>
        </w:rPr>
        <w:t>．</w:t>
      </w:r>
      <w:r w:rsidRPr="00EE6DBA">
        <w:rPr>
          <w:rFonts w:ascii="仿宋_GB2312" w:eastAsia="仿宋_GB2312" w:cs="仿宋_GB2312" w:hint="eastAsia"/>
          <w:color w:val="000000"/>
          <w:sz w:val="32"/>
          <w:szCs w:val="32"/>
        </w:rPr>
        <w:t>基本支出：指为保障机构正常运转、完成日常工作任务而发生的人员支出和公用支出。</w:t>
      </w:r>
    </w:p>
    <w:p w:rsidR="00FA1E28" w:rsidRPr="00EE6DBA" w:rsidRDefault="00020877" w:rsidP="00FA1E28">
      <w:pPr>
        <w:spacing w:line="58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16</w:t>
      </w:r>
      <w:r w:rsidR="00FA1E28">
        <w:rPr>
          <w:rFonts w:ascii="仿宋_GB2312" w:eastAsia="仿宋_GB2312" w:cs="仿宋_GB2312" w:hint="eastAsia"/>
          <w:color w:val="000000"/>
          <w:sz w:val="32"/>
          <w:szCs w:val="32"/>
        </w:rPr>
        <w:t>．</w:t>
      </w:r>
      <w:r w:rsidR="00FA1E28" w:rsidRPr="00EE6DBA">
        <w:rPr>
          <w:rFonts w:ascii="仿宋_GB2312" w:eastAsia="仿宋_GB2312" w:cs="仿宋_GB2312" w:hint="eastAsia"/>
          <w:color w:val="000000"/>
          <w:sz w:val="32"/>
          <w:szCs w:val="32"/>
        </w:rPr>
        <w:t xml:space="preserve">项目支出：指在基本支出之外为完成特定行政任务和事业发展目标所发生的支出。 </w:t>
      </w:r>
    </w:p>
    <w:p w:rsidR="00FA1E28" w:rsidRPr="00EE6DBA" w:rsidRDefault="00020877" w:rsidP="00FA1E28">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lastRenderedPageBreak/>
        <w:t>17</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“三公”经费：指部门用财政拨款安排的因公出国（境）费、公务用车购置及运行费和公务接待费。其中，因公出国（境）</w:t>
      </w:r>
      <w:proofErr w:type="gramStart"/>
      <w:r w:rsidR="00FA1E28" w:rsidRPr="00EE6DBA">
        <w:rPr>
          <w:rFonts w:ascii="仿宋_GB2312" w:eastAsia="仿宋_GB2312" w:cs="仿宋_GB2312" w:hint="eastAsia"/>
          <w:sz w:val="32"/>
          <w:szCs w:val="32"/>
        </w:rPr>
        <w:t>费反映</w:t>
      </w:r>
      <w:proofErr w:type="gramEnd"/>
      <w:r w:rsidR="00FA1E28" w:rsidRPr="00EE6DBA">
        <w:rPr>
          <w:rFonts w:ascii="仿宋_GB2312" w:eastAsia="仿宋_GB2312" w:cs="仿宋_GB2312" w:hint="eastAsia"/>
          <w:sz w:val="32"/>
          <w:szCs w:val="32"/>
        </w:rPr>
        <w:t>单位公务出国（境）的国际旅费、国外城市间交通费、住宿费、伙食费、培训费、公杂费等支出；公务用车购置及运行</w:t>
      </w:r>
      <w:proofErr w:type="gramStart"/>
      <w:r w:rsidR="00FA1E28" w:rsidRPr="00EE6DBA">
        <w:rPr>
          <w:rFonts w:ascii="仿宋_GB2312" w:eastAsia="仿宋_GB2312" w:cs="仿宋_GB2312" w:hint="eastAsia"/>
          <w:sz w:val="32"/>
          <w:szCs w:val="32"/>
        </w:rPr>
        <w:t>费反映</w:t>
      </w:r>
      <w:proofErr w:type="gramEnd"/>
      <w:r w:rsidR="00FA1E28" w:rsidRPr="00EE6DBA">
        <w:rPr>
          <w:rFonts w:ascii="仿宋_GB2312" w:eastAsia="仿宋_GB2312" w:cs="仿宋_GB2312" w:hint="eastAsia"/>
          <w:sz w:val="32"/>
          <w:szCs w:val="32"/>
        </w:rPr>
        <w:t>单位公务用车车辆购置支出（</w:t>
      </w:r>
      <w:proofErr w:type="gramStart"/>
      <w:r w:rsidR="00FA1E28" w:rsidRPr="00EE6DBA">
        <w:rPr>
          <w:rFonts w:ascii="仿宋_GB2312" w:eastAsia="仿宋_GB2312" w:cs="仿宋_GB2312" w:hint="eastAsia"/>
          <w:sz w:val="32"/>
          <w:szCs w:val="32"/>
        </w:rPr>
        <w:t>含车辆</w:t>
      </w:r>
      <w:proofErr w:type="gramEnd"/>
      <w:r w:rsidR="00FA1E28" w:rsidRPr="00EE6DBA">
        <w:rPr>
          <w:rFonts w:ascii="仿宋_GB2312" w:eastAsia="仿宋_GB2312" w:cs="仿宋_GB2312" w:hint="eastAsia"/>
          <w:sz w:val="32"/>
          <w:szCs w:val="32"/>
        </w:rPr>
        <w:t>购置税）及租用费、燃料费、维修费、过路过桥费、保险费等支出；公务接待</w:t>
      </w:r>
      <w:proofErr w:type="gramStart"/>
      <w:r w:rsidR="00FA1E28" w:rsidRPr="00EE6DBA">
        <w:rPr>
          <w:rFonts w:ascii="仿宋_GB2312" w:eastAsia="仿宋_GB2312" w:cs="仿宋_GB2312" w:hint="eastAsia"/>
          <w:sz w:val="32"/>
          <w:szCs w:val="32"/>
        </w:rPr>
        <w:t>费反映</w:t>
      </w:r>
      <w:proofErr w:type="gramEnd"/>
      <w:r w:rsidR="00FA1E28" w:rsidRPr="00EE6DBA">
        <w:rPr>
          <w:rFonts w:ascii="仿宋_GB2312" w:eastAsia="仿宋_GB2312" w:cs="仿宋_GB2312" w:hint="eastAsia"/>
          <w:sz w:val="32"/>
          <w:szCs w:val="32"/>
        </w:rPr>
        <w:t>单位按规定开支的各类公务接待（含外宾接待）支出。</w:t>
      </w:r>
    </w:p>
    <w:p w:rsidR="00FA1E28" w:rsidRPr="00EE6DBA" w:rsidRDefault="00020877" w:rsidP="00FA1E28">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18</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机关运行经费：</w:t>
      </w:r>
      <w:r w:rsidR="00CF4A2A">
        <w:rPr>
          <w:rFonts w:ascii="仿宋_GB2312" w:eastAsia="仿宋_GB2312" w:cs="仿宋_GB2312" w:hint="eastAsia"/>
          <w:sz w:val="32"/>
          <w:szCs w:val="32"/>
        </w:rPr>
        <w:t>指</w:t>
      </w:r>
      <w:r w:rsidR="00FA1E28" w:rsidRPr="00EE6DBA">
        <w:rPr>
          <w:rFonts w:ascii="仿宋_GB2312" w:eastAsia="仿宋_GB2312" w:cs="仿宋_GB2312" w:hint="eastAsia"/>
          <w:sz w:val="32"/>
          <w:szCs w:val="32"/>
        </w:rPr>
        <w:t>为保障单位运行用于购买货物和服务的各项资金，包括办公及印刷费、邮电费、差旅费、会议费、福利费、日常维修费、专用材料及一般设备购置费、办公用房水电费、办公用房物业管理费、公务用车运行维护费以及其他费用。</w:t>
      </w: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E6420A" w:rsidRDefault="005360AC">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四部分 附件</w:t>
      </w:r>
      <w:bookmarkEnd w:id="51"/>
    </w:p>
    <w:p w:rsidR="00B6583F" w:rsidRDefault="00B6583F" w:rsidP="00B6583F">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t>附件</w:t>
      </w:r>
    </w:p>
    <w:p w:rsidR="00B6583F" w:rsidRPr="00B6583F" w:rsidRDefault="00B6583F" w:rsidP="00B6583F">
      <w:pPr>
        <w:pStyle w:val="a0"/>
        <w:spacing w:before="93"/>
      </w:pPr>
    </w:p>
    <w:tbl>
      <w:tblPr>
        <w:tblpPr w:leftFromText="180" w:rightFromText="180" w:vertAnchor="text" w:horzAnchor="page" w:tblpX="1256" w:tblpY="221"/>
        <w:tblOverlap w:val="never"/>
        <w:tblW w:w="5896" w:type="pct"/>
        <w:tblLook w:val="04A0"/>
      </w:tblPr>
      <w:tblGrid>
        <w:gridCol w:w="1472"/>
        <w:gridCol w:w="1230"/>
        <w:gridCol w:w="370"/>
        <w:gridCol w:w="724"/>
        <w:gridCol w:w="275"/>
        <w:gridCol w:w="1779"/>
        <w:gridCol w:w="1162"/>
        <w:gridCol w:w="476"/>
        <w:gridCol w:w="2339"/>
        <w:gridCol w:w="222"/>
      </w:tblGrid>
      <w:tr w:rsidR="00B6583F" w:rsidTr="00E45355">
        <w:trPr>
          <w:trHeight w:val="675"/>
        </w:trPr>
        <w:tc>
          <w:tcPr>
            <w:tcW w:w="4890" w:type="pct"/>
            <w:gridSpan w:val="9"/>
            <w:tcBorders>
              <w:top w:val="nil"/>
              <w:left w:val="nil"/>
              <w:bottom w:val="nil"/>
              <w:right w:val="nil"/>
            </w:tcBorders>
            <w:shd w:val="clear" w:color="auto" w:fill="auto"/>
            <w:vAlign w:val="center"/>
          </w:tcPr>
          <w:p w:rsidR="00061FA4" w:rsidRDefault="00061FA4" w:rsidP="00061FA4">
            <w:pPr>
              <w:widowControl/>
              <w:jc w:val="center"/>
              <w:textAlignment w:val="center"/>
              <w:rPr>
                <w:rFonts w:ascii="宋体" w:hAnsi="宋体" w:cs="宋体"/>
                <w:b/>
                <w:color w:val="000000"/>
                <w:sz w:val="32"/>
                <w:szCs w:val="32"/>
              </w:rPr>
            </w:pPr>
            <w:r w:rsidRPr="00AA5F92">
              <w:rPr>
                <w:rFonts w:ascii="宋体" w:hAnsi="宋体" w:cs="宋体" w:hint="eastAsia"/>
                <w:b/>
                <w:color w:val="000000"/>
                <w:sz w:val="32"/>
                <w:szCs w:val="32"/>
              </w:rPr>
              <w:t>2021年100万元以上（含）特定目标类部门预算项目绩效目标自评</w:t>
            </w:r>
          </w:p>
          <w:p w:rsidR="00061FA4" w:rsidRPr="00061FA4" w:rsidRDefault="00061FA4" w:rsidP="00061FA4">
            <w:pPr>
              <w:pStyle w:val="a0"/>
              <w:spacing w:before="93"/>
              <w:jc w:val="center"/>
              <w:rPr>
                <w:sz w:val="32"/>
                <w:szCs w:val="32"/>
              </w:rPr>
            </w:pPr>
            <w:r>
              <w:rPr>
                <w:rFonts w:ascii="宋体" w:eastAsia="宋体" w:hAnsi="宋体" w:cs="宋体" w:hint="eastAsia"/>
                <w:b/>
                <w:color w:val="000000"/>
                <w:kern w:val="2"/>
                <w:sz w:val="32"/>
                <w:szCs w:val="32"/>
              </w:rPr>
              <w:t>(</w:t>
            </w:r>
            <w:r w:rsidRPr="00A97CC8">
              <w:rPr>
                <w:rFonts w:ascii="宋体" w:eastAsia="宋体" w:hAnsi="宋体" w:cs="宋体" w:hint="eastAsia"/>
                <w:b/>
                <w:color w:val="000000"/>
                <w:kern w:val="2"/>
                <w:sz w:val="32"/>
                <w:szCs w:val="32"/>
              </w:rPr>
              <w:t>政法队伍教育整顿</w:t>
            </w:r>
            <w:r>
              <w:rPr>
                <w:rFonts w:ascii="宋体" w:eastAsia="宋体" w:hAnsi="宋体" w:cs="宋体" w:hint="eastAsia"/>
                <w:b/>
                <w:color w:val="000000"/>
                <w:kern w:val="2"/>
                <w:sz w:val="32"/>
                <w:szCs w:val="32"/>
              </w:rPr>
              <w:t>项目)</w:t>
            </w:r>
          </w:p>
        </w:tc>
        <w:tc>
          <w:tcPr>
            <w:tcW w:w="110" w:type="pct"/>
            <w:tcBorders>
              <w:top w:val="nil"/>
              <w:left w:val="nil"/>
              <w:bottom w:val="nil"/>
              <w:right w:val="nil"/>
            </w:tcBorders>
            <w:shd w:val="clear" w:color="auto" w:fill="auto"/>
            <w:vAlign w:val="center"/>
          </w:tcPr>
          <w:p w:rsidR="00B6583F" w:rsidRDefault="00B6583F" w:rsidP="00061FA4">
            <w:pPr>
              <w:widowControl/>
              <w:textAlignment w:val="center"/>
              <w:rPr>
                <w:rFonts w:ascii="宋体" w:hAnsi="宋体" w:cs="宋体"/>
                <w:b/>
                <w:color w:val="000000"/>
                <w:kern w:val="0"/>
                <w:szCs w:val="32"/>
              </w:rPr>
            </w:pPr>
          </w:p>
        </w:tc>
      </w:tr>
      <w:tr w:rsidR="00B6583F" w:rsidTr="00E45355">
        <w:trPr>
          <w:gridAfter w:val="1"/>
          <w:wAfter w:w="110" w:type="pct"/>
          <w:trHeight w:val="254"/>
        </w:trPr>
        <w:tc>
          <w:tcPr>
            <w:tcW w:w="15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主管部门及代码</w:t>
            </w:r>
          </w:p>
        </w:tc>
        <w:tc>
          <w:tcPr>
            <w:tcW w:w="138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061FA4">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203301</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实施单位</w:t>
            </w:r>
          </w:p>
        </w:tc>
        <w:tc>
          <w:tcPr>
            <w:tcW w:w="14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中共四川省委政法委员会</w:t>
            </w:r>
          </w:p>
        </w:tc>
      </w:tr>
      <w:tr w:rsidR="00B6583F" w:rsidTr="00E45355">
        <w:trPr>
          <w:gridAfter w:val="1"/>
          <w:wAfter w:w="110" w:type="pct"/>
          <w:trHeight w:val="341"/>
        </w:trPr>
        <w:tc>
          <w:tcPr>
            <w:tcW w:w="152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项目预算</w:t>
            </w:r>
            <w:r w:rsidRPr="002E7E7A">
              <w:rPr>
                <w:rFonts w:ascii="宋体" w:hAnsi="宋体" w:cs="宋体" w:hint="eastAsia"/>
                <w:color w:val="000000"/>
                <w:kern w:val="0"/>
                <w:sz w:val="20"/>
                <w:szCs w:val="20"/>
              </w:rPr>
              <w:br/>
              <w:t>执行情况</w:t>
            </w:r>
            <w:r w:rsidRPr="002E7E7A">
              <w:rPr>
                <w:rFonts w:ascii="宋体" w:hAnsi="宋体" w:cs="宋体" w:hint="eastAsia"/>
                <w:color w:val="000000"/>
                <w:kern w:val="0"/>
                <w:sz w:val="20"/>
                <w:szCs w:val="20"/>
              </w:rPr>
              <w:br/>
              <w:t>（万元）</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 xml:space="preserve"> 预算数：</w:t>
            </w:r>
          </w:p>
        </w:tc>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sz w:val="20"/>
                <w:szCs w:val="20"/>
              </w:rPr>
              <w:t>762</w:t>
            </w:r>
            <w:r>
              <w:rPr>
                <w:rFonts w:ascii="宋体" w:hAnsi="宋体" w:cs="宋体" w:hint="eastAsia"/>
                <w:color w:val="000000"/>
                <w:sz w:val="20"/>
                <w:szCs w:val="20"/>
              </w:rPr>
              <w:t>（年初预算600）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 xml:space="preserve"> 执行数：</w:t>
            </w:r>
          </w:p>
        </w:tc>
        <w:tc>
          <w:tcPr>
            <w:tcW w:w="14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right"/>
              <w:textAlignment w:val="center"/>
              <w:rPr>
                <w:rFonts w:ascii="宋体" w:hAnsi="宋体" w:cs="宋体"/>
                <w:color w:val="000000"/>
                <w:sz w:val="20"/>
                <w:szCs w:val="20"/>
              </w:rPr>
            </w:pPr>
            <w:r w:rsidRPr="002E7E7A">
              <w:rPr>
                <w:rFonts w:ascii="宋体" w:hAnsi="宋体" w:cs="宋体" w:hint="eastAsia"/>
                <w:color w:val="000000"/>
                <w:sz w:val="20"/>
                <w:szCs w:val="20"/>
              </w:rPr>
              <w:t>753.85</w:t>
            </w:r>
          </w:p>
        </w:tc>
      </w:tr>
      <w:tr w:rsidR="00B6583F" w:rsidTr="00E45355">
        <w:trPr>
          <w:gridAfter w:val="1"/>
          <w:wAfter w:w="110" w:type="pct"/>
          <w:trHeight w:val="577"/>
        </w:trPr>
        <w:tc>
          <w:tcPr>
            <w:tcW w:w="152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spacing w:line="320" w:lineRule="exact"/>
              <w:jc w:val="center"/>
              <w:rPr>
                <w:rFonts w:ascii="宋体" w:hAnsi="宋体" w:cs="宋体"/>
                <w:color w:val="000000"/>
                <w:sz w:val="20"/>
                <w:szCs w:val="20"/>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其中：</w:t>
            </w:r>
          </w:p>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财政拨款</w:t>
            </w:r>
          </w:p>
        </w:tc>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sz w:val="20"/>
                <w:szCs w:val="20"/>
              </w:rPr>
              <w:t>762</w:t>
            </w:r>
            <w:r>
              <w:rPr>
                <w:rFonts w:ascii="宋体" w:hAnsi="宋体" w:cs="宋体" w:hint="eastAsia"/>
                <w:color w:val="000000"/>
                <w:sz w:val="20"/>
                <w:szCs w:val="20"/>
              </w:rPr>
              <w:t>（年初预算600）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其中：</w:t>
            </w:r>
          </w:p>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财政拨款</w:t>
            </w:r>
          </w:p>
        </w:tc>
        <w:tc>
          <w:tcPr>
            <w:tcW w:w="14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right"/>
              <w:textAlignment w:val="center"/>
              <w:rPr>
                <w:rFonts w:ascii="宋体" w:hAnsi="宋体" w:cs="宋体"/>
                <w:color w:val="000000"/>
                <w:sz w:val="20"/>
                <w:szCs w:val="20"/>
              </w:rPr>
            </w:pPr>
            <w:r w:rsidRPr="002E7E7A">
              <w:rPr>
                <w:rFonts w:ascii="宋体" w:hAnsi="宋体" w:cs="宋体" w:hint="eastAsia"/>
                <w:color w:val="000000"/>
                <w:sz w:val="20"/>
                <w:szCs w:val="20"/>
              </w:rPr>
              <w:t>753.85</w:t>
            </w:r>
          </w:p>
        </w:tc>
      </w:tr>
      <w:tr w:rsidR="00B6583F" w:rsidTr="00E45355">
        <w:trPr>
          <w:gridAfter w:val="1"/>
          <w:wAfter w:w="110" w:type="pct"/>
          <w:trHeight w:val="341"/>
        </w:trPr>
        <w:tc>
          <w:tcPr>
            <w:tcW w:w="152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spacing w:line="320" w:lineRule="exact"/>
              <w:jc w:val="center"/>
              <w:rPr>
                <w:rFonts w:ascii="宋体" w:hAnsi="宋体" w:cs="宋体"/>
                <w:color w:val="000000"/>
                <w:sz w:val="20"/>
                <w:szCs w:val="20"/>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其他资金</w:t>
            </w:r>
          </w:p>
        </w:tc>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其他资金</w:t>
            </w:r>
          </w:p>
        </w:tc>
        <w:tc>
          <w:tcPr>
            <w:tcW w:w="14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p>
        </w:tc>
      </w:tr>
      <w:tr w:rsidR="00B6583F" w:rsidTr="00E45355">
        <w:trPr>
          <w:gridAfter w:val="1"/>
          <w:wAfter w:w="110" w:type="pct"/>
          <w:trHeight w:val="217"/>
        </w:trPr>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年度总体目标</w:t>
            </w:r>
          </w:p>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完成情况</w:t>
            </w:r>
          </w:p>
        </w:tc>
        <w:tc>
          <w:tcPr>
            <w:tcW w:w="217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预期目标</w:t>
            </w:r>
          </w:p>
        </w:tc>
        <w:tc>
          <w:tcPr>
            <w:tcW w:w="19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目标实际完成情况</w:t>
            </w:r>
          </w:p>
        </w:tc>
      </w:tr>
      <w:tr w:rsidR="00B6583F" w:rsidTr="00E45355">
        <w:trPr>
          <w:gridAfter w:val="1"/>
          <w:wAfter w:w="110" w:type="pct"/>
          <w:trHeight w:val="1297"/>
        </w:trPr>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spacing w:line="320" w:lineRule="exact"/>
              <w:jc w:val="center"/>
              <w:rPr>
                <w:rFonts w:ascii="宋体" w:hAnsi="宋体" w:cs="宋体"/>
                <w:color w:val="000000"/>
                <w:sz w:val="20"/>
                <w:szCs w:val="20"/>
              </w:rPr>
            </w:pPr>
          </w:p>
        </w:tc>
        <w:tc>
          <w:tcPr>
            <w:tcW w:w="2178" w:type="pct"/>
            <w:gridSpan w:val="5"/>
            <w:tcBorders>
              <w:top w:val="single" w:sz="4" w:space="0" w:color="000000"/>
              <w:left w:val="single" w:sz="4" w:space="0" w:color="000000"/>
              <w:bottom w:val="single" w:sz="4" w:space="0" w:color="000000"/>
              <w:right w:val="single" w:sz="4" w:space="0" w:color="000000"/>
            </w:tcBorders>
            <w:shd w:val="clear" w:color="auto" w:fill="auto"/>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1.服务保障中央指导组驻点四川期间有关经费。据</w:t>
            </w:r>
            <w:r>
              <w:rPr>
                <w:rFonts w:ascii="宋体" w:hAnsi="宋体" w:cs="宋体" w:hint="eastAsia"/>
                <w:color w:val="000000"/>
                <w:sz w:val="20"/>
                <w:szCs w:val="20"/>
              </w:rPr>
              <w:t>事前</w:t>
            </w:r>
            <w:r w:rsidRPr="002E7E7A">
              <w:rPr>
                <w:rFonts w:ascii="宋体" w:hAnsi="宋体" w:cs="宋体" w:hint="eastAsia"/>
                <w:color w:val="000000"/>
                <w:sz w:val="20"/>
                <w:szCs w:val="20"/>
              </w:rPr>
              <w:t>了解，</w:t>
            </w:r>
            <w:r>
              <w:rPr>
                <w:rFonts w:ascii="宋体" w:hAnsi="宋体" w:cs="宋体" w:hint="eastAsia"/>
                <w:color w:val="000000"/>
                <w:sz w:val="20"/>
                <w:szCs w:val="20"/>
              </w:rPr>
              <w:t>中央</w:t>
            </w:r>
            <w:r w:rsidRPr="002E7E7A">
              <w:rPr>
                <w:rFonts w:ascii="宋体" w:hAnsi="宋体" w:cs="宋体" w:hint="eastAsia"/>
                <w:color w:val="000000"/>
                <w:sz w:val="20"/>
                <w:szCs w:val="20"/>
              </w:rPr>
              <w:t>将派出30人左右的指导组驻点</w:t>
            </w:r>
            <w:r>
              <w:rPr>
                <w:rFonts w:ascii="宋体" w:hAnsi="宋体" w:cs="宋体" w:hint="eastAsia"/>
                <w:color w:val="000000"/>
                <w:sz w:val="20"/>
                <w:szCs w:val="20"/>
              </w:rPr>
              <w:t>督导</w:t>
            </w:r>
            <w:r w:rsidRPr="002E7E7A">
              <w:rPr>
                <w:rFonts w:ascii="宋体" w:hAnsi="宋体" w:cs="宋体" w:hint="eastAsia"/>
                <w:color w:val="000000"/>
                <w:sz w:val="20"/>
                <w:szCs w:val="20"/>
              </w:rPr>
              <w:t>教育整顿工作，在川工作时间约为5个月，并延伸督导21个市州和部分县（市、区），我省将抽调人员遂行全程参与，涉及办公场所租赁、办公设备配备、交通工具及通讯保障等</w:t>
            </w:r>
          </w:p>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2.省级层面工作专班工作经费。我委将在本系统内抽调30余人组成工作专班，集中办公至少1年，统筹指导推进全省教育整顿工作、“减假暂”核查、涉法涉诉信访评查等工作，工作开展方式主要为对下督察。同时，还将从机关内部抽调10余人参与省级派驻市（州）的驻点指导组，涉及差旅、租赁、办公、文印等经费</w:t>
            </w:r>
          </w:p>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3.筹备召开重要会议经费。教育整顿期间中央及我省将召开动员会、推进会、交流会、业务培训费、新闻发布会等一系列重要会议，对教育整顿</w:t>
            </w:r>
            <w:r w:rsidRPr="002E7E7A">
              <w:rPr>
                <w:rFonts w:ascii="宋体" w:hAnsi="宋体" w:cs="宋体" w:hint="eastAsia"/>
                <w:color w:val="000000"/>
                <w:sz w:val="20"/>
                <w:szCs w:val="20"/>
              </w:rPr>
              <w:lastRenderedPageBreak/>
              <w:t>进行全面部署和安排，涉及会场及相关设施设备租赁、视频通讯线路保障等</w:t>
            </w:r>
          </w:p>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4.组织系列学习宣传教育活动经费。（1）教育整顿期间将结合庆祝建党100周年，组织开展英模宣讲、警示教育等一系列学习教育活动，编制学习教育相关资料。（2）围绕营造政治队伍教育整顿浓厚氛围，组织开展社会面宣传；围绕充分展现政法队伍教育整顿取得的经验成效，策划制作直播节目、制作专题片、微视频等新媒体作品；组织中央和省级媒体对全省政法队伍教育整顿工作开展形象宣传，针对整顿过程重要环节、重要时间节点，开展专题活动策划。</w:t>
            </w:r>
          </w:p>
        </w:tc>
        <w:tc>
          <w:tcPr>
            <w:tcW w:w="1979" w:type="pct"/>
            <w:gridSpan w:val="3"/>
            <w:tcBorders>
              <w:top w:val="single" w:sz="4" w:space="0" w:color="000000"/>
              <w:left w:val="single" w:sz="4" w:space="0" w:color="000000"/>
              <w:bottom w:val="single" w:sz="4" w:space="0" w:color="000000"/>
              <w:right w:val="single" w:sz="4" w:space="0" w:color="000000"/>
            </w:tcBorders>
            <w:shd w:val="clear" w:color="auto" w:fill="auto"/>
          </w:tcPr>
          <w:p w:rsidR="00B6583F"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lastRenderedPageBreak/>
              <w:t>1.</w:t>
            </w:r>
            <w:r>
              <w:rPr>
                <w:rFonts w:ascii="宋体" w:hAnsi="宋体" w:cs="宋体" w:hint="eastAsia"/>
                <w:color w:val="000000"/>
                <w:sz w:val="20"/>
                <w:szCs w:val="20"/>
              </w:rPr>
              <w:t>有力保障政法队伍教育整顿中央第十四督导组两批各3个月的督导工作和两次“回头看”检查验收工作。</w:t>
            </w:r>
          </w:p>
          <w:p w:rsidR="00B6583F" w:rsidRDefault="00B6583F" w:rsidP="00E453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2.</w:t>
            </w:r>
            <w:r w:rsidRPr="002E7E7A">
              <w:rPr>
                <w:rFonts w:ascii="宋体" w:hAnsi="宋体" w:cs="宋体" w:hint="eastAsia"/>
                <w:color w:val="000000"/>
                <w:sz w:val="20"/>
                <w:szCs w:val="20"/>
              </w:rPr>
              <w:t>委机关抽调54余人组成工作专班组成工作专班，设立综合协调、文稿材料、顽疾整治等</w:t>
            </w:r>
            <w:r w:rsidRPr="002E7E7A">
              <w:rPr>
                <w:rFonts w:ascii="宋体" w:hAnsi="宋体" w:cs="宋体"/>
                <w:color w:val="000000"/>
                <w:sz w:val="20"/>
                <w:szCs w:val="20"/>
              </w:rPr>
              <w:t>8</w:t>
            </w:r>
            <w:r w:rsidRPr="002E7E7A">
              <w:rPr>
                <w:rFonts w:ascii="宋体" w:hAnsi="宋体" w:cs="宋体" w:hint="eastAsia"/>
                <w:color w:val="000000"/>
                <w:sz w:val="20"/>
                <w:szCs w:val="20"/>
              </w:rPr>
              <w:t>个工作组，并下派13人驻市（州）的驻点指导政法队伍教育整顿工作。</w:t>
            </w:r>
          </w:p>
          <w:p w:rsidR="00B6583F" w:rsidRDefault="00B6583F" w:rsidP="00E453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3</w:t>
            </w:r>
            <w:r w:rsidRPr="002E7E7A">
              <w:rPr>
                <w:rFonts w:ascii="宋体" w:hAnsi="宋体" w:cs="宋体" w:hint="eastAsia"/>
                <w:color w:val="000000"/>
                <w:sz w:val="20"/>
                <w:szCs w:val="20"/>
              </w:rPr>
              <w:t>.制定《省委政法委教育整顿重点工作任务清单》，细化</w:t>
            </w:r>
            <w:r w:rsidRPr="002E7E7A">
              <w:rPr>
                <w:rFonts w:ascii="宋体" w:hAnsi="宋体" w:cs="宋体"/>
                <w:color w:val="000000"/>
                <w:sz w:val="20"/>
                <w:szCs w:val="20"/>
              </w:rPr>
              <w:t>4</w:t>
            </w:r>
            <w:r w:rsidRPr="002E7E7A">
              <w:rPr>
                <w:rFonts w:ascii="宋体" w:hAnsi="宋体" w:cs="宋体" w:hint="eastAsia"/>
                <w:color w:val="000000"/>
                <w:sz w:val="20"/>
                <w:szCs w:val="20"/>
              </w:rPr>
              <w:t>个方面</w:t>
            </w:r>
            <w:r w:rsidRPr="002E7E7A">
              <w:rPr>
                <w:rFonts w:ascii="宋体" w:hAnsi="宋体" w:cs="宋体"/>
                <w:color w:val="000000"/>
                <w:sz w:val="20"/>
                <w:szCs w:val="20"/>
              </w:rPr>
              <w:t>38</w:t>
            </w:r>
            <w:r w:rsidRPr="002E7E7A">
              <w:rPr>
                <w:rFonts w:ascii="宋体" w:hAnsi="宋体" w:cs="宋体" w:hint="eastAsia"/>
                <w:color w:val="000000"/>
                <w:sz w:val="20"/>
                <w:szCs w:val="20"/>
              </w:rPr>
              <w:t>项工作内容，挂图作战、倒排工期、压茬推进。</w:t>
            </w:r>
          </w:p>
          <w:p w:rsidR="00B6583F" w:rsidRDefault="00B6583F" w:rsidP="00E453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4</w:t>
            </w:r>
            <w:r w:rsidRPr="002E7E7A">
              <w:rPr>
                <w:rFonts w:ascii="宋体" w:hAnsi="宋体" w:cs="宋体" w:hint="eastAsia"/>
                <w:color w:val="000000"/>
                <w:sz w:val="20"/>
                <w:szCs w:val="20"/>
              </w:rPr>
              <w:t>.组建3个专项组对机关各部门教育整顿工作开展情况进行专项检查督导。</w:t>
            </w:r>
          </w:p>
          <w:p w:rsidR="00B6583F" w:rsidRDefault="00B6583F" w:rsidP="00E453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5</w:t>
            </w:r>
            <w:r w:rsidRPr="002E7E7A">
              <w:rPr>
                <w:rFonts w:ascii="宋体" w:hAnsi="宋体" w:cs="宋体" w:hint="eastAsia"/>
                <w:color w:val="000000"/>
                <w:sz w:val="20"/>
                <w:szCs w:val="20"/>
              </w:rPr>
              <w:t>.紧密结合党史学习教育，深入开展政治教育、警示教育、英模教育，邓勇书记先后</w:t>
            </w:r>
            <w:r w:rsidRPr="002E7E7A">
              <w:rPr>
                <w:rFonts w:ascii="宋体" w:hAnsi="宋体" w:cs="宋体"/>
                <w:color w:val="000000"/>
                <w:sz w:val="20"/>
                <w:szCs w:val="20"/>
              </w:rPr>
              <w:t>2</w:t>
            </w:r>
            <w:r w:rsidRPr="002E7E7A">
              <w:rPr>
                <w:rFonts w:ascii="宋体" w:hAnsi="宋体" w:cs="宋体" w:hint="eastAsia"/>
                <w:color w:val="000000"/>
                <w:sz w:val="20"/>
                <w:szCs w:val="20"/>
              </w:rPr>
              <w:t>次为机关全体党员干部作专题党课辅导，印发《政治教育口袋书》等书籍</w:t>
            </w:r>
            <w:r w:rsidRPr="002E7E7A">
              <w:rPr>
                <w:rFonts w:ascii="宋体" w:hAnsi="宋体" w:cs="宋体"/>
                <w:color w:val="000000"/>
                <w:sz w:val="20"/>
                <w:szCs w:val="20"/>
              </w:rPr>
              <w:t>500</w:t>
            </w:r>
            <w:r w:rsidRPr="002E7E7A">
              <w:rPr>
                <w:rFonts w:ascii="宋体" w:hAnsi="宋体" w:cs="宋体" w:hint="eastAsia"/>
                <w:color w:val="000000"/>
                <w:sz w:val="20"/>
                <w:szCs w:val="20"/>
              </w:rPr>
              <w:t>余册，开</w:t>
            </w:r>
            <w:r w:rsidRPr="002E7E7A">
              <w:rPr>
                <w:rFonts w:ascii="宋体" w:hAnsi="宋体" w:cs="宋体" w:hint="eastAsia"/>
                <w:color w:val="000000"/>
                <w:sz w:val="20"/>
                <w:szCs w:val="20"/>
              </w:rPr>
              <w:lastRenderedPageBreak/>
              <w:t>展“学百年党史、铸忠诚警魂”主题党日活动，组织机关干部分</w:t>
            </w:r>
            <w:r w:rsidRPr="002E7E7A">
              <w:rPr>
                <w:rFonts w:ascii="宋体" w:hAnsi="宋体" w:cs="宋体"/>
                <w:color w:val="000000"/>
                <w:sz w:val="20"/>
                <w:szCs w:val="20"/>
              </w:rPr>
              <w:t>3</w:t>
            </w:r>
            <w:proofErr w:type="gramStart"/>
            <w:r w:rsidRPr="002E7E7A">
              <w:rPr>
                <w:rFonts w:ascii="宋体" w:hAnsi="宋体" w:cs="宋体" w:hint="eastAsia"/>
                <w:color w:val="000000"/>
                <w:sz w:val="20"/>
                <w:szCs w:val="20"/>
              </w:rPr>
              <w:t>批次赴</w:t>
            </w:r>
            <w:proofErr w:type="gramEnd"/>
            <w:r w:rsidRPr="002E7E7A">
              <w:rPr>
                <w:rFonts w:ascii="宋体" w:hAnsi="宋体" w:cs="宋体" w:hint="eastAsia"/>
                <w:color w:val="000000"/>
                <w:sz w:val="20"/>
                <w:szCs w:val="20"/>
              </w:rPr>
              <w:t>雅安、自贡、巴中等地开展现场教学，到省法院旁听职务犯罪案件庭审，驻委纪检监察组组长为全体党员干部作廉政教育辅导，邀请全国优秀共产党员</w:t>
            </w:r>
            <w:proofErr w:type="gramStart"/>
            <w:r w:rsidRPr="002E7E7A">
              <w:rPr>
                <w:rFonts w:ascii="宋体" w:hAnsi="宋体" w:cs="宋体" w:hint="eastAsia"/>
                <w:color w:val="000000"/>
                <w:sz w:val="20"/>
                <w:szCs w:val="20"/>
              </w:rPr>
              <w:t>陈界安</w:t>
            </w:r>
            <w:proofErr w:type="gramEnd"/>
            <w:r w:rsidRPr="002E7E7A">
              <w:rPr>
                <w:rFonts w:ascii="宋体" w:hAnsi="宋体" w:cs="宋体" w:hint="eastAsia"/>
                <w:color w:val="000000"/>
                <w:sz w:val="20"/>
                <w:szCs w:val="20"/>
              </w:rPr>
              <w:t>、吴诗华作先进事迹报告。</w:t>
            </w:r>
          </w:p>
          <w:p w:rsidR="00B6583F" w:rsidRDefault="00B6583F" w:rsidP="00E453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6</w:t>
            </w:r>
            <w:r w:rsidRPr="002E7E7A">
              <w:rPr>
                <w:rFonts w:ascii="宋体" w:hAnsi="宋体" w:cs="宋体" w:hint="eastAsia"/>
                <w:color w:val="000000"/>
                <w:sz w:val="20"/>
                <w:szCs w:val="20"/>
              </w:rPr>
              <w:t>.</w:t>
            </w:r>
            <w:r w:rsidRPr="002E7E7A">
              <w:rPr>
                <w:rFonts w:ascii="宋体" w:hAnsi="宋体" w:cs="宋体"/>
                <w:color w:val="000000"/>
                <w:sz w:val="20"/>
                <w:szCs w:val="20"/>
              </w:rPr>
              <w:t xml:space="preserve"> </w:t>
            </w:r>
            <w:r w:rsidRPr="002E7E7A">
              <w:rPr>
                <w:rFonts w:ascii="宋体" w:hAnsi="宋体" w:cs="宋体" w:hint="eastAsia"/>
                <w:color w:val="000000"/>
                <w:sz w:val="20"/>
                <w:szCs w:val="20"/>
              </w:rPr>
              <w:t>教育整顿期间召开8次全省工作推进会、4次省级指导组调度会，5次教育整顿办主任会议。</w:t>
            </w:r>
          </w:p>
          <w:p w:rsidR="00B6583F" w:rsidRDefault="00B6583F" w:rsidP="00E453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7</w:t>
            </w:r>
            <w:r w:rsidRPr="002E7E7A">
              <w:rPr>
                <w:rFonts w:ascii="宋体" w:hAnsi="宋体" w:cs="宋体" w:hint="eastAsia"/>
                <w:color w:val="000000"/>
                <w:sz w:val="20"/>
                <w:szCs w:val="20"/>
              </w:rPr>
              <w:t>.积极配合全</w:t>
            </w:r>
            <w:proofErr w:type="gramStart"/>
            <w:r w:rsidRPr="002E7E7A">
              <w:rPr>
                <w:rFonts w:ascii="宋体" w:hAnsi="宋体" w:cs="宋体" w:hint="eastAsia"/>
                <w:color w:val="000000"/>
                <w:sz w:val="20"/>
                <w:szCs w:val="20"/>
              </w:rPr>
              <w:t>国教整办开展</w:t>
            </w:r>
            <w:proofErr w:type="gramEnd"/>
            <w:r w:rsidRPr="002E7E7A">
              <w:rPr>
                <w:rFonts w:ascii="宋体" w:hAnsi="宋体" w:cs="宋体" w:hint="eastAsia"/>
                <w:color w:val="000000"/>
                <w:sz w:val="20"/>
                <w:szCs w:val="20"/>
              </w:rPr>
              <w:t>深度集中调研采访，组织中央、省级媒体记者16人组成采访团，先后采访省、市、县有关领导18人次，基层民警和群众代表1</w:t>
            </w:r>
            <w:r w:rsidRPr="002E7E7A">
              <w:rPr>
                <w:rFonts w:ascii="宋体" w:hAnsi="宋体" w:cs="宋体"/>
                <w:color w:val="000000"/>
                <w:sz w:val="20"/>
                <w:szCs w:val="20"/>
              </w:rPr>
              <w:t>2</w:t>
            </w:r>
            <w:r w:rsidRPr="002E7E7A">
              <w:rPr>
                <w:rFonts w:ascii="宋体" w:hAnsi="宋体" w:cs="宋体" w:hint="eastAsia"/>
                <w:color w:val="000000"/>
                <w:sz w:val="20"/>
                <w:szCs w:val="20"/>
              </w:rPr>
              <w:t>人次，点位1</w:t>
            </w:r>
            <w:r w:rsidRPr="002E7E7A">
              <w:rPr>
                <w:rFonts w:ascii="宋体" w:hAnsi="宋体" w:cs="宋体"/>
                <w:color w:val="000000"/>
                <w:sz w:val="20"/>
                <w:szCs w:val="20"/>
              </w:rPr>
              <w:t>4</w:t>
            </w:r>
            <w:r w:rsidRPr="002E7E7A">
              <w:rPr>
                <w:rFonts w:ascii="宋体" w:hAnsi="宋体" w:cs="宋体" w:hint="eastAsia"/>
                <w:color w:val="000000"/>
                <w:sz w:val="20"/>
                <w:szCs w:val="20"/>
              </w:rPr>
              <w:t>个，陆续在《人民日报》、新华社、央视、《经济日报》、《法治日报》等媒体刊发原创报道23篇，报道数量居全国第一，在社会各界引发强烈反响。</w:t>
            </w:r>
          </w:p>
          <w:p w:rsidR="00B6583F" w:rsidRDefault="00B6583F" w:rsidP="00E453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8</w:t>
            </w:r>
            <w:r w:rsidRPr="002E7E7A">
              <w:rPr>
                <w:rFonts w:ascii="宋体" w:hAnsi="宋体" w:cs="宋体" w:hint="eastAsia"/>
                <w:color w:val="000000"/>
                <w:sz w:val="20"/>
                <w:szCs w:val="20"/>
              </w:rPr>
              <w:t>.策划拍摄制作专题片《淬火砺剑铸铁军 去疴除弊再出发—四川省政法队伍教育整顿工作记实》，在全省总结大会上播出。</w:t>
            </w:r>
          </w:p>
          <w:p w:rsidR="00B6583F" w:rsidRDefault="00B6583F" w:rsidP="00E453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9</w:t>
            </w:r>
            <w:r w:rsidRPr="002E7E7A">
              <w:rPr>
                <w:rFonts w:ascii="宋体" w:hAnsi="宋体" w:cs="宋体" w:hint="eastAsia"/>
                <w:color w:val="000000"/>
                <w:sz w:val="20"/>
                <w:szCs w:val="20"/>
              </w:rPr>
              <w:t>.组织开展“讲述身边政法先锋故事”评选活动，推动各地各部门推出政法英模故事2400余篇，开展“致敬政法先锋”微视频征集，推动制作微视频370余部，让政法英模故事深入人心。</w:t>
            </w:r>
          </w:p>
          <w:p w:rsidR="00B6583F" w:rsidRPr="002E7E7A" w:rsidRDefault="00B6583F" w:rsidP="00E453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10</w:t>
            </w:r>
            <w:r w:rsidRPr="002E7E7A">
              <w:rPr>
                <w:rFonts w:ascii="宋体" w:hAnsi="宋体" w:cs="宋体" w:hint="eastAsia"/>
                <w:color w:val="000000"/>
                <w:sz w:val="20"/>
                <w:szCs w:val="20"/>
              </w:rPr>
              <w:t>.先后协调推动在《法治日报》等中央政法媒体刊发相关报道510余篇，在《四川日报》、四川电视台专栏专题推出重要部署动态、综述报道、系列报道110余篇（条），在《四川法治报》刊发教育整顿相关报道1200余篇。</w:t>
            </w:r>
          </w:p>
        </w:tc>
      </w:tr>
      <w:tr w:rsidR="00B6583F" w:rsidTr="00E45355">
        <w:trPr>
          <w:gridAfter w:val="1"/>
          <w:wAfter w:w="110" w:type="pct"/>
          <w:trHeight w:val="637"/>
        </w:trPr>
        <w:tc>
          <w:tcPr>
            <w:tcW w:w="733" w:type="pct"/>
            <w:vMerge w:val="restart"/>
            <w:tcBorders>
              <w:top w:val="single" w:sz="4" w:space="0" w:color="000000"/>
              <w:left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center"/>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lastRenderedPageBreak/>
              <w:t>年度绩效指标完成情况</w:t>
            </w:r>
          </w:p>
        </w:tc>
        <w:tc>
          <w:tcPr>
            <w:tcW w:w="612" w:type="pct"/>
            <w:tcBorders>
              <w:top w:val="single" w:sz="4" w:space="0" w:color="000000"/>
              <w:left w:val="nil"/>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center"/>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一级</w:t>
            </w:r>
          </w:p>
          <w:p w:rsidR="00B6583F" w:rsidRPr="00174414" w:rsidRDefault="00B6583F" w:rsidP="00E45355">
            <w:pPr>
              <w:widowControl/>
              <w:spacing w:line="320" w:lineRule="exact"/>
              <w:jc w:val="center"/>
              <w:textAlignment w:val="center"/>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指标</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center"/>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二级</w:t>
            </w:r>
          </w:p>
          <w:p w:rsidR="00B6583F" w:rsidRPr="00174414" w:rsidRDefault="00B6583F" w:rsidP="00E45355">
            <w:pPr>
              <w:widowControl/>
              <w:spacing w:line="320" w:lineRule="exact"/>
              <w:jc w:val="center"/>
              <w:textAlignment w:val="center"/>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center"/>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三级</w:t>
            </w:r>
          </w:p>
          <w:p w:rsidR="00B6583F" w:rsidRPr="00174414" w:rsidRDefault="00B6583F" w:rsidP="00E45355">
            <w:pPr>
              <w:widowControl/>
              <w:spacing w:line="320" w:lineRule="exact"/>
              <w:jc w:val="center"/>
              <w:textAlignment w:val="center"/>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指标</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center"/>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预期指标值</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center"/>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实际完成指标值</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完成</w:t>
            </w:r>
          </w:p>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指标</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陪同中央政法</w:t>
            </w:r>
            <w:proofErr w:type="gramStart"/>
            <w:r w:rsidRPr="005A4B61">
              <w:rPr>
                <w:rFonts w:ascii="仿宋_GB2312" w:hAnsi="仿宋_GB2312" w:cs="仿宋_GB2312" w:hint="eastAsia"/>
                <w:color w:val="000000"/>
                <w:sz w:val="20"/>
                <w:szCs w:val="20"/>
              </w:rPr>
              <w:t>委指导</w:t>
            </w:r>
            <w:proofErr w:type="gramEnd"/>
            <w:r w:rsidRPr="005A4B61">
              <w:rPr>
                <w:rFonts w:ascii="仿宋_GB2312" w:hAnsi="仿宋_GB2312" w:cs="仿宋_GB2312" w:hint="eastAsia"/>
                <w:color w:val="000000"/>
                <w:sz w:val="20"/>
                <w:szCs w:val="20"/>
              </w:rPr>
              <w:t>组在川督导的市州数量</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5</w:t>
            </w:r>
            <w:r w:rsidRPr="005A4B61">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7</w:t>
            </w:r>
            <w:r>
              <w:rPr>
                <w:rFonts w:ascii="仿宋_GB2312" w:hAnsi="仿宋_GB2312" w:cs="仿宋_GB2312" w:hint="eastAsia"/>
                <w:color w:val="000000"/>
                <w:sz w:val="20"/>
                <w:szCs w:val="20"/>
              </w:rPr>
              <w:t>个</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陪同中央政法</w:t>
            </w:r>
            <w:proofErr w:type="gramStart"/>
            <w:r w:rsidRPr="005A4B61">
              <w:rPr>
                <w:rFonts w:ascii="仿宋_GB2312" w:hAnsi="仿宋_GB2312" w:cs="仿宋_GB2312" w:hint="eastAsia"/>
                <w:color w:val="000000"/>
                <w:sz w:val="20"/>
                <w:szCs w:val="20"/>
              </w:rPr>
              <w:t>委教育</w:t>
            </w:r>
            <w:proofErr w:type="gramEnd"/>
            <w:r w:rsidRPr="005A4B61">
              <w:rPr>
                <w:rFonts w:ascii="仿宋_GB2312" w:hAnsi="仿宋_GB2312" w:cs="仿宋_GB2312" w:hint="eastAsia"/>
                <w:color w:val="000000"/>
                <w:sz w:val="20"/>
                <w:szCs w:val="20"/>
              </w:rPr>
              <w:t>整顿工作组在川督导的县、</w:t>
            </w:r>
            <w:proofErr w:type="gramStart"/>
            <w:r w:rsidRPr="005A4B61">
              <w:rPr>
                <w:rFonts w:ascii="仿宋_GB2312" w:hAnsi="仿宋_GB2312" w:cs="仿宋_GB2312" w:hint="eastAsia"/>
                <w:color w:val="000000"/>
                <w:sz w:val="20"/>
                <w:szCs w:val="20"/>
              </w:rPr>
              <w:t>区数量</w:t>
            </w:r>
            <w:proofErr w:type="gramEnd"/>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10</w:t>
            </w:r>
            <w:r w:rsidRPr="005A4B61">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12</w:t>
            </w:r>
            <w:r w:rsidRPr="005A4B61">
              <w:rPr>
                <w:rFonts w:ascii="仿宋_GB2312" w:hAnsi="仿宋_GB2312" w:cs="仿宋_GB2312" w:hint="eastAsia"/>
                <w:color w:val="000000"/>
                <w:sz w:val="20"/>
                <w:szCs w:val="20"/>
              </w:rPr>
              <w:t>个</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政法队伍教育整顿工作专班人数</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30</w:t>
            </w:r>
            <w:r w:rsidRPr="005A4B61">
              <w:rPr>
                <w:rFonts w:ascii="仿宋_GB2312" w:hAnsi="仿宋_GB2312" w:cs="仿宋_GB2312" w:hint="eastAsia"/>
                <w:color w:val="000000"/>
                <w:sz w:val="20"/>
                <w:szCs w:val="20"/>
              </w:rPr>
              <w:t>人</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54</w:t>
            </w:r>
            <w:r>
              <w:rPr>
                <w:rFonts w:ascii="仿宋_GB2312" w:hAnsi="仿宋_GB2312" w:cs="仿宋_GB2312" w:hint="eastAsia"/>
                <w:color w:val="000000"/>
                <w:sz w:val="20"/>
                <w:szCs w:val="20"/>
              </w:rPr>
              <w:t>人</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省级派驻市（州）的驻点指导组人数</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10</w:t>
            </w:r>
            <w:r w:rsidRPr="005A4B61">
              <w:rPr>
                <w:rFonts w:ascii="仿宋_GB2312" w:hAnsi="仿宋_GB2312" w:cs="仿宋_GB2312" w:hint="eastAsia"/>
                <w:color w:val="000000"/>
                <w:sz w:val="20"/>
                <w:szCs w:val="20"/>
              </w:rPr>
              <w:t>人</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13</w:t>
            </w:r>
            <w:r w:rsidRPr="005A4B61">
              <w:rPr>
                <w:rFonts w:ascii="仿宋_GB2312" w:hAnsi="仿宋_GB2312" w:cs="仿宋_GB2312" w:hint="eastAsia"/>
                <w:color w:val="000000"/>
                <w:sz w:val="20"/>
                <w:szCs w:val="20"/>
              </w:rPr>
              <w:t>人</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教育整顿期间将召开动员会、推进会、交流会、业务培训等一系列重要会议数量</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10</w:t>
            </w:r>
            <w:r w:rsidRPr="005A4B61">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17</w:t>
            </w:r>
            <w:r w:rsidRPr="005A4B61">
              <w:rPr>
                <w:rFonts w:ascii="仿宋_GB2312" w:hAnsi="仿宋_GB2312" w:cs="仿宋_GB2312" w:hint="eastAsia"/>
                <w:color w:val="000000"/>
                <w:sz w:val="20"/>
                <w:szCs w:val="20"/>
              </w:rPr>
              <w:t>个</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组织开展英模宣讲</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5</w:t>
            </w:r>
            <w:r w:rsidRPr="005A4B61">
              <w:rPr>
                <w:rFonts w:ascii="仿宋_GB2312" w:hAnsi="仿宋_GB2312" w:cs="仿宋_GB2312" w:hint="eastAsia"/>
                <w:color w:val="000000"/>
                <w:sz w:val="20"/>
                <w:szCs w:val="20"/>
              </w:rPr>
              <w:t>次</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5</w:t>
            </w:r>
            <w:r w:rsidRPr="005A4B61">
              <w:rPr>
                <w:rFonts w:ascii="仿宋_GB2312" w:hAnsi="仿宋_GB2312" w:cs="仿宋_GB2312" w:hint="eastAsia"/>
                <w:color w:val="000000"/>
                <w:sz w:val="20"/>
                <w:szCs w:val="20"/>
              </w:rPr>
              <w:t>次</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组织开展警示教育</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5</w:t>
            </w:r>
            <w:r w:rsidRPr="005A4B61">
              <w:rPr>
                <w:rFonts w:ascii="仿宋_GB2312" w:hAnsi="仿宋_GB2312" w:cs="仿宋_GB2312" w:hint="eastAsia"/>
                <w:color w:val="000000"/>
                <w:sz w:val="20"/>
                <w:szCs w:val="20"/>
              </w:rPr>
              <w:t>次</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5</w:t>
            </w:r>
            <w:r w:rsidRPr="005A4B61">
              <w:rPr>
                <w:rFonts w:ascii="仿宋_GB2312" w:hAnsi="仿宋_GB2312" w:cs="仿宋_GB2312" w:hint="eastAsia"/>
                <w:color w:val="000000"/>
                <w:sz w:val="20"/>
                <w:szCs w:val="20"/>
              </w:rPr>
              <w:t>次</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策划制作直播节目</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1</w:t>
            </w:r>
            <w:r w:rsidRPr="005A4B61">
              <w:rPr>
                <w:rFonts w:ascii="仿宋_GB2312" w:hAnsi="仿宋_GB2312" w:cs="仿宋_GB2312" w:hint="eastAsia"/>
                <w:color w:val="000000"/>
                <w:sz w:val="20"/>
                <w:szCs w:val="20"/>
              </w:rPr>
              <w:t>次</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1</w:t>
            </w:r>
            <w:r w:rsidRPr="005A4B61">
              <w:rPr>
                <w:rFonts w:ascii="仿宋_GB2312" w:hAnsi="仿宋_GB2312" w:cs="仿宋_GB2312" w:hint="eastAsia"/>
                <w:color w:val="000000"/>
                <w:sz w:val="20"/>
                <w:szCs w:val="20"/>
              </w:rPr>
              <w:t>次</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5A4B61"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制作教育整顿专题片</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1</w:t>
            </w:r>
            <w:r w:rsidRPr="005A4B61">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1</w:t>
            </w:r>
            <w:r w:rsidRPr="005A4B61">
              <w:rPr>
                <w:rFonts w:ascii="仿宋_GB2312" w:hAnsi="仿宋_GB2312" w:cs="仿宋_GB2312" w:hint="eastAsia"/>
                <w:color w:val="000000"/>
                <w:sz w:val="20"/>
                <w:szCs w:val="20"/>
              </w:rPr>
              <w:t>个</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6A03A4"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制作教育整顿微视频</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6A03A4"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w:t>
            </w:r>
            <w:r w:rsidRPr="00617016">
              <w:rPr>
                <w:rFonts w:ascii="仿宋_GB2312" w:hAnsi="仿宋_GB2312" w:cs="仿宋_GB2312" w:hint="eastAsia"/>
                <w:color w:val="000000"/>
                <w:sz w:val="20"/>
                <w:szCs w:val="20"/>
              </w:rPr>
              <w:t>3</w:t>
            </w:r>
            <w:r w:rsidRPr="00617016">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3</w:t>
            </w:r>
            <w:r w:rsidRPr="00617016">
              <w:rPr>
                <w:rFonts w:ascii="仿宋_GB2312" w:hAnsi="仿宋_GB2312" w:cs="仿宋_GB2312" w:hint="eastAsia"/>
                <w:color w:val="000000"/>
                <w:sz w:val="20"/>
                <w:szCs w:val="20"/>
              </w:rPr>
              <w:t>个</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6A03A4"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制作教育整顿短视频</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6A03A4"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w:t>
            </w:r>
            <w:r w:rsidRPr="00617016">
              <w:rPr>
                <w:rFonts w:ascii="仿宋_GB2312" w:hAnsi="仿宋_GB2312" w:cs="仿宋_GB2312" w:hint="eastAsia"/>
                <w:color w:val="000000"/>
                <w:sz w:val="20"/>
                <w:szCs w:val="20"/>
              </w:rPr>
              <w:t>8</w:t>
            </w:r>
            <w:r w:rsidRPr="00617016">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8</w:t>
            </w:r>
            <w:r w:rsidRPr="00617016">
              <w:rPr>
                <w:rFonts w:ascii="仿宋_GB2312" w:hAnsi="仿宋_GB2312" w:cs="仿宋_GB2312" w:hint="eastAsia"/>
                <w:color w:val="000000"/>
                <w:sz w:val="20"/>
                <w:szCs w:val="20"/>
              </w:rPr>
              <w:t>个</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6A03A4"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围绕展现教育整顿经验成效制作</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6A03A4"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w:t>
            </w:r>
            <w:r w:rsidRPr="00617016">
              <w:rPr>
                <w:rFonts w:ascii="仿宋_GB2312" w:hAnsi="仿宋_GB2312" w:cs="仿宋_GB2312" w:hint="eastAsia"/>
                <w:color w:val="000000"/>
                <w:sz w:val="20"/>
                <w:szCs w:val="20"/>
              </w:rPr>
              <w:t>2</w:t>
            </w:r>
            <w:r w:rsidRPr="00617016">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2</w:t>
            </w:r>
            <w:r w:rsidRPr="00617016">
              <w:rPr>
                <w:rFonts w:ascii="仿宋_GB2312" w:hAnsi="仿宋_GB2312" w:cs="仿宋_GB2312" w:hint="eastAsia"/>
                <w:color w:val="000000"/>
                <w:sz w:val="20"/>
                <w:szCs w:val="20"/>
              </w:rPr>
              <w:t>个</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6A03A4"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采写相关新媒体稿件</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6A03A4"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w:t>
            </w:r>
            <w:r w:rsidRPr="00617016">
              <w:rPr>
                <w:rFonts w:ascii="仿宋_GB2312" w:hAnsi="仿宋_GB2312" w:cs="仿宋_GB2312" w:hint="eastAsia"/>
                <w:color w:val="000000"/>
                <w:sz w:val="20"/>
                <w:szCs w:val="20"/>
              </w:rPr>
              <w:t>8</w:t>
            </w:r>
            <w:r w:rsidRPr="00617016">
              <w:rPr>
                <w:rFonts w:ascii="仿宋_GB2312" w:hAnsi="仿宋_GB2312" w:cs="仿宋_GB2312" w:hint="eastAsia"/>
                <w:color w:val="000000"/>
                <w:sz w:val="20"/>
                <w:szCs w:val="20"/>
              </w:rPr>
              <w:t>篇</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Default="00B6583F" w:rsidP="00E453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510</w:t>
            </w:r>
            <w:r w:rsidRPr="00617016">
              <w:rPr>
                <w:rFonts w:ascii="仿宋_GB2312" w:hAnsi="仿宋_GB2312" w:cs="仿宋_GB2312" w:hint="eastAsia"/>
                <w:color w:val="000000"/>
                <w:sz w:val="20"/>
                <w:szCs w:val="20"/>
              </w:rPr>
              <w:t>篇</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6A03A4"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针对整顿过程重要环节、重要时间节点，开展专题活动策划</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6A03A4"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w:t>
            </w:r>
            <w:r w:rsidRPr="00617016">
              <w:rPr>
                <w:rFonts w:ascii="仿宋_GB2312" w:hAnsi="仿宋_GB2312" w:cs="仿宋_GB2312" w:hint="eastAsia"/>
                <w:color w:val="000000"/>
                <w:sz w:val="20"/>
                <w:szCs w:val="20"/>
              </w:rPr>
              <w:t>2</w:t>
            </w:r>
            <w:r w:rsidRPr="00617016">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Default="00B6583F" w:rsidP="00E453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2</w:t>
            </w:r>
            <w:r w:rsidRPr="00617016">
              <w:rPr>
                <w:rFonts w:ascii="仿宋_GB2312" w:hAnsi="仿宋_GB2312" w:cs="仿宋_GB2312" w:hint="eastAsia"/>
                <w:color w:val="000000"/>
                <w:sz w:val="20"/>
                <w:szCs w:val="20"/>
              </w:rPr>
              <w:t>个</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时效指标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陪同政法</w:t>
            </w:r>
            <w:r>
              <w:rPr>
                <w:rFonts w:ascii="仿宋_GB2312" w:hAnsi="仿宋_GB2312" w:cs="仿宋_GB2312" w:hint="eastAsia"/>
                <w:color w:val="000000"/>
                <w:sz w:val="20"/>
                <w:szCs w:val="20"/>
              </w:rPr>
              <w:t>队伍</w:t>
            </w:r>
            <w:r w:rsidRPr="006A03A4">
              <w:rPr>
                <w:rFonts w:ascii="仿宋_GB2312" w:hAnsi="仿宋_GB2312" w:cs="仿宋_GB2312" w:hint="eastAsia"/>
                <w:color w:val="000000"/>
                <w:sz w:val="20"/>
                <w:szCs w:val="20"/>
              </w:rPr>
              <w:t>教育整顿</w:t>
            </w:r>
            <w:r>
              <w:rPr>
                <w:rFonts w:ascii="仿宋_GB2312" w:hAnsi="仿宋_GB2312" w:cs="仿宋_GB2312" w:hint="eastAsia"/>
                <w:color w:val="000000"/>
                <w:sz w:val="20"/>
                <w:szCs w:val="20"/>
              </w:rPr>
              <w:t>中央督导</w:t>
            </w:r>
            <w:r w:rsidRPr="006A03A4">
              <w:rPr>
                <w:rFonts w:ascii="仿宋_GB2312" w:hAnsi="仿宋_GB2312" w:cs="仿宋_GB2312" w:hint="eastAsia"/>
                <w:color w:val="000000"/>
                <w:sz w:val="20"/>
                <w:szCs w:val="20"/>
              </w:rPr>
              <w:t>组在川督导时间</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预计</w:t>
            </w:r>
            <w:r w:rsidRPr="006A03A4">
              <w:rPr>
                <w:rFonts w:ascii="仿宋_GB2312" w:hAnsi="仿宋_GB2312" w:cs="仿宋_GB2312" w:hint="eastAsia"/>
                <w:color w:val="000000"/>
                <w:sz w:val="20"/>
                <w:szCs w:val="20"/>
              </w:rPr>
              <w:t>3-5</w:t>
            </w:r>
            <w:r w:rsidRPr="006A03A4">
              <w:rPr>
                <w:rFonts w:ascii="仿宋_GB2312" w:hAnsi="仿宋_GB2312" w:cs="仿宋_GB2312" w:hint="eastAsia"/>
                <w:color w:val="000000"/>
                <w:sz w:val="20"/>
                <w:szCs w:val="20"/>
              </w:rPr>
              <w:t>个月</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6</w:t>
            </w:r>
            <w:r w:rsidRPr="006A03A4">
              <w:rPr>
                <w:rFonts w:ascii="仿宋_GB2312" w:hAnsi="仿宋_GB2312" w:cs="仿宋_GB2312" w:hint="eastAsia"/>
                <w:color w:val="000000"/>
                <w:sz w:val="20"/>
                <w:szCs w:val="20"/>
              </w:rPr>
              <w:t>个月</w:t>
            </w:r>
          </w:p>
        </w:tc>
      </w:tr>
      <w:tr w:rsidR="00B6583F" w:rsidTr="00E453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时效指标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政法队伍教育整顿工作专班集中办公时间</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1</w:t>
            </w:r>
            <w:r w:rsidRPr="006A03A4">
              <w:rPr>
                <w:rFonts w:ascii="仿宋_GB2312" w:hAnsi="仿宋_GB2312" w:cs="仿宋_GB2312" w:hint="eastAsia"/>
                <w:color w:val="000000"/>
                <w:sz w:val="20"/>
                <w:szCs w:val="20"/>
              </w:rPr>
              <w:t>年</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1</w:t>
            </w:r>
            <w:r w:rsidRPr="006A03A4">
              <w:rPr>
                <w:rFonts w:ascii="仿宋_GB2312" w:hAnsi="仿宋_GB2312" w:cs="仿宋_GB2312" w:hint="eastAsia"/>
                <w:color w:val="000000"/>
                <w:sz w:val="20"/>
                <w:szCs w:val="20"/>
              </w:rPr>
              <w:t>年</w:t>
            </w:r>
          </w:p>
        </w:tc>
      </w:tr>
      <w:tr w:rsidR="00B6583F" w:rsidTr="00E45355">
        <w:trPr>
          <w:gridAfter w:val="1"/>
          <w:wAfter w:w="110" w:type="pct"/>
          <w:trHeight w:val="530"/>
        </w:trPr>
        <w:tc>
          <w:tcPr>
            <w:tcW w:w="733" w:type="pct"/>
            <w:vMerge/>
            <w:tcBorders>
              <w:left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效益</w:t>
            </w:r>
            <w:r w:rsidRPr="00174414">
              <w:rPr>
                <w:rFonts w:ascii="仿宋_GB2312" w:hAnsi="仿宋_GB2312" w:cs="仿宋_GB2312" w:hint="eastAsia"/>
                <w:color w:val="000000"/>
                <w:kern w:val="0"/>
                <w:sz w:val="20"/>
                <w:szCs w:val="20"/>
              </w:rPr>
              <w:br/>
            </w:r>
            <w:r w:rsidRPr="00174414">
              <w:rPr>
                <w:rFonts w:ascii="仿宋_GB2312" w:hAnsi="仿宋_GB2312" w:cs="仿宋_GB2312" w:hint="eastAsia"/>
                <w:color w:val="000000"/>
                <w:kern w:val="0"/>
                <w:sz w:val="20"/>
                <w:szCs w:val="20"/>
              </w:rPr>
              <w:t>指标</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社会效益指标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群众对政法队伍满意度得到提升</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群众对政法队伍满意度得到提升</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群众对政法队伍满意度得到提升</w:t>
            </w:r>
          </w:p>
        </w:tc>
      </w:tr>
      <w:tr w:rsidR="00B6583F" w:rsidTr="00E45355">
        <w:trPr>
          <w:gridAfter w:val="1"/>
          <w:wAfter w:w="110" w:type="pct"/>
          <w:trHeight w:val="480"/>
        </w:trPr>
        <w:tc>
          <w:tcPr>
            <w:tcW w:w="733" w:type="pct"/>
            <w:vMerge/>
            <w:tcBorders>
              <w:left w:val="single" w:sz="4" w:space="0" w:color="000000"/>
              <w:bottom w:val="single" w:sz="4" w:space="0" w:color="000000"/>
              <w:right w:val="single" w:sz="4" w:space="0" w:color="000000"/>
            </w:tcBorders>
            <w:shd w:val="clear" w:color="auto" w:fill="auto"/>
            <w:vAlign w:val="center"/>
          </w:tcPr>
          <w:p w:rsidR="00B6583F" w:rsidRPr="00174414" w:rsidRDefault="00B6583F" w:rsidP="00E45355">
            <w:pPr>
              <w:spacing w:line="320" w:lineRule="exact"/>
              <w:jc w:val="center"/>
              <w:rPr>
                <w:rFonts w:ascii="仿宋_GB2312" w:hAnsi="仿宋_GB2312" w:cs="仿宋_GB2312"/>
                <w:color w:val="000000"/>
                <w:sz w:val="20"/>
                <w:szCs w:val="20"/>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proofErr w:type="gramStart"/>
            <w:r w:rsidRPr="00174414">
              <w:rPr>
                <w:rFonts w:ascii="仿宋_GB2312" w:hAnsi="仿宋_GB2312" w:cs="仿宋_GB2312" w:hint="eastAsia"/>
                <w:color w:val="000000"/>
                <w:kern w:val="0"/>
                <w:sz w:val="20"/>
                <w:szCs w:val="20"/>
              </w:rPr>
              <w:t>满意</w:t>
            </w:r>
            <w:proofErr w:type="gramEnd"/>
            <w:r w:rsidRPr="00174414">
              <w:rPr>
                <w:rFonts w:ascii="仿宋_GB2312" w:hAnsi="仿宋_GB2312" w:cs="仿宋_GB2312" w:hint="eastAsia"/>
                <w:color w:val="000000"/>
                <w:kern w:val="0"/>
                <w:sz w:val="20"/>
                <w:szCs w:val="20"/>
              </w:rPr>
              <w:br/>
            </w:r>
            <w:r w:rsidRPr="00174414">
              <w:rPr>
                <w:rFonts w:ascii="仿宋_GB2312" w:hAnsi="仿宋_GB2312" w:cs="仿宋_GB2312" w:hint="eastAsia"/>
                <w:color w:val="000000"/>
                <w:kern w:val="0"/>
                <w:sz w:val="20"/>
                <w:szCs w:val="20"/>
              </w:rPr>
              <w:t>度指标</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满意度</w:t>
            </w:r>
          </w:p>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服务对象满意度</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90%</w:t>
            </w:r>
            <w:r w:rsidRPr="006A03A4">
              <w:rPr>
                <w:rFonts w:ascii="仿宋_GB2312" w:hAnsi="仿宋_GB2312" w:cs="仿宋_GB2312" w:hint="eastAsia"/>
                <w:color w:val="000000"/>
                <w:sz w:val="20"/>
                <w:szCs w:val="20"/>
              </w:rPr>
              <w:t>以上</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174414" w:rsidRDefault="00B6583F" w:rsidP="00E453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9</w:t>
            </w:r>
            <w:r>
              <w:rPr>
                <w:rFonts w:ascii="仿宋_GB2312" w:hAnsi="仿宋_GB2312" w:cs="仿宋_GB2312" w:hint="eastAsia"/>
                <w:color w:val="000000"/>
                <w:sz w:val="20"/>
                <w:szCs w:val="20"/>
              </w:rPr>
              <w:t>5</w:t>
            </w:r>
            <w:r w:rsidRPr="006A03A4">
              <w:rPr>
                <w:rFonts w:ascii="仿宋_GB2312" w:hAnsi="仿宋_GB2312" w:cs="仿宋_GB2312" w:hint="eastAsia"/>
                <w:color w:val="000000"/>
                <w:sz w:val="20"/>
                <w:szCs w:val="20"/>
              </w:rPr>
              <w:t>%</w:t>
            </w:r>
          </w:p>
        </w:tc>
      </w:tr>
    </w:tbl>
    <w:p w:rsidR="00B6583F" w:rsidRDefault="00B6583F" w:rsidP="00B6583F">
      <w:pPr>
        <w:spacing w:line="600" w:lineRule="exact"/>
        <w:rPr>
          <w:spacing w:val="6"/>
          <w:szCs w:val="32"/>
        </w:rPr>
      </w:pPr>
    </w:p>
    <w:p w:rsidR="00B6583F" w:rsidRDefault="00B6583F" w:rsidP="00B6583F">
      <w:pPr>
        <w:spacing w:line="600" w:lineRule="exact"/>
        <w:rPr>
          <w:spacing w:val="6"/>
          <w:szCs w:val="32"/>
        </w:rPr>
      </w:pPr>
    </w:p>
    <w:p w:rsidR="00B6583F" w:rsidRDefault="00B6583F" w:rsidP="00B6583F">
      <w:pPr>
        <w:spacing w:line="600" w:lineRule="exact"/>
        <w:rPr>
          <w:spacing w:val="6"/>
          <w:szCs w:val="32"/>
        </w:rPr>
      </w:pPr>
    </w:p>
    <w:p w:rsidR="00B6583F" w:rsidRDefault="00B6583F" w:rsidP="00B6583F">
      <w:pPr>
        <w:spacing w:line="600" w:lineRule="exact"/>
        <w:rPr>
          <w:spacing w:val="6"/>
          <w:szCs w:val="32"/>
        </w:rPr>
      </w:pPr>
    </w:p>
    <w:p w:rsidR="00B6583F" w:rsidRDefault="00B6583F" w:rsidP="00B6583F">
      <w:pPr>
        <w:spacing w:line="600" w:lineRule="exact"/>
        <w:rPr>
          <w:spacing w:val="6"/>
          <w:szCs w:val="32"/>
        </w:rPr>
      </w:pPr>
    </w:p>
    <w:p w:rsidR="00B6583F" w:rsidRDefault="00B6583F" w:rsidP="00B6583F">
      <w:pPr>
        <w:spacing w:line="600" w:lineRule="exact"/>
        <w:rPr>
          <w:spacing w:val="6"/>
          <w:szCs w:val="32"/>
        </w:rPr>
      </w:pPr>
    </w:p>
    <w:p w:rsidR="00B6583F" w:rsidRDefault="00B6583F" w:rsidP="00B6583F">
      <w:pPr>
        <w:spacing w:line="600" w:lineRule="exact"/>
        <w:rPr>
          <w:spacing w:val="6"/>
          <w:szCs w:val="32"/>
        </w:rPr>
      </w:pPr>
    </w:p>
    <w:p w:rsidR="00B6583F" w:rsidRDefault="00B6583F" w:rsidP="00B6583F">
      <w:pPr>
        <w:spacing w:line="600" w:lineRule="exact"/>
        <w:rPr>
          <w:spacing w:val="6"/>
          <w:szCs w:val="32"/>
        </w:rPr>
      </w:pPr>
    </w:p>
    <w:p w:rsidR="00B6583F" w:rsidRDefault="00B6583F" w:rsidP="00B6583F">
      <w:pPr>
        <w:spacing w:line="600" w:lineRule="exact"/>
        <w:rPr>
          <w:spacing w:val="6"/>
          <w:szCs w:val="32"/>
        </w:rPr>
      </w:pPr>
    </w:p>
    <w:p w:rsidR="00B6583F" w:rsidRDefault="00B6583F" w:rsidP="00B6583F">
      <w:pPr>
        <w:spacing w:line="600" w:lineRule="exact"/>
        <w:rPr>
          <w:spacing w:val="6"/>
          <w:szCs w:val="32"/>
        </w:rPr>
      </w:pPr>
    </w:p>
    <w:p w:rsidR="00B6583F" w:rsidRPr="000F119A" w:rsidRDefault="00B6583F" w:rsidP="00B6583F">
      <w:pPr>
        <w:pStyle w:val="a0"/>
        <w:spacing w:before="93"/>
      </w:pPr>
    </w:p>
    <w:tbl>
      <w:tblPr>
        <w:tblpPr w:leftFromText="180" w:rightFromText="180" w:vertAnchor="text" w:horzAnchor="page" w:tblpX="1256" w:tblpY="221"/>
        <w:tblOverlap w:val="never"/>
        <w:tblW w:w="5812" w:type="pct"/>
        <w:tblLook w:val="04A0"/>
      </w:tblPr>
      <w:tblGrid>
        <w:gridCol w:w="1982"/>
        <w:gridCol w:w="1153"/>
        <w:gridCol w:w="1327"/>
        <w:gridCol w:w="311"/>
        <w:gridCol w:w="1365"/>
        <w:gridCol w:w="1054"/>
        <w:gridCol w:w="297"/>
        <w:gridCol w:w="2191"/>
        <w:gridCol w:w="226"/>
      </w:tblGrid>
      <w:tr w:rsidR="00061FA4" w:rsidTr="00E45355">
        <w:trPr>
          <w:trHeight w:val="675"/>
        </w:trPr>
        <w:tc>
          <w:tcPr>
            <w:tcW w:w="4886" w:type="pct"/>
            <w:gridSpan w:val="8"/>
            <w:tcBorders>
              <w:top w:val="nil"/>
              <w:left w:val="nil"/>
              <w:bottom w:val="nil"/>
              <w:right w:val="nil"/>
            </w:tcBorders>
            <w:shd w:val="clear" w:color="auto" w:fill="auto"/>
            <w:vAlign w:val="center"/>
          </w:tcPr>
          <w:p w:rsidR="00061FA4" w:rsidRDefault="00061FA4" w:rsidP="00061FA4">
            <w:pPr>
              <w:widowControl/>
              <w:jc w:val="center"/>
              <w:textAlignment w:val="center"/>
              <w:rPr>
                <w:rFonts w:ascii="宋体" w:hAnsi="宋体" w:cs="宋体"/>
                <w:b/>
                <w:color w:val="000000"/>
                <w:sz w:val="32"/>
                <w:szCs w:val="32"/>
              </w:rPr>
            </w:pPr>
            <w:r w:rsidRPr="00AA5F92">
              <w:rPr>
                <w:rFonts w:ascii="宋体" w:hAnsi="宋体" w:cs="宋体" w:hint="eastAsia"/>
                <w:b/>
                <w:color w:val="000000"/>
                <w:sz w:val="32"/>
                <w:szCs w:val="32"/>
              </w:rPr>
              <w:t>2021年100万元以上（含）特定目标类部门预算项目绩效目标自评</w:t>
            </w:r>
          </w:p>
          <w:p w:rsidR="00061FA4" w:rsidRPr="00A97CC8" w:rsidRDefault="00061FA4" w:rsidP="00061FA4">
            <w:pPr>
              <w:widowControl/>
              <w:jc w:val="center"/>
              <w:textAlignment w:val="center"/>
            </w:pPr>
            <w:r w:rsidRPr="00A97CC8">
              <w:rPr>
                <w:rFonts w:ascii="宋体" w:hAnsi="宋体" w:cs="宋体" w:hint="eastAsia"/>
                <w:b/>
                <w:color w:val="000000"/>
                <w:sz w:val="32"/>
                <w:szCs w:val="32"/>
              </w:rPr>
              <w:t>（信息化建设及运行维护</w:t>
            </w:r>
            <w:r>
              <w:rPr>
                <w:rFonts w:ascii="宋体" w:hAnsi="宋体" w:cs="宋体" w:hint="eastAsia"/>
                <w:b/>
                <w:color w:val="000000"/>
                <w:sz w:val="32"/>
                <w:szCs w:val="32"/>
              </w:rPr>
              <w:t>项目</w:t>
            </w:r>
            <w:r w:rsidRPr="00A97CC8">
              <w:rPr>
                <w:rFonts w:ascii="宋体" w:hAnsi="宋体" w:cs="宋体" w:hint="eastAsia"/>
                <w:b/>
                <w:color w:val="000000"/>
                <w:sz w:val="32"/>
                <w:szCs w:val="32"/>
              </w:rPr>
              <w:t>）</w:t>
            </w:r>
          </w:p>
        </w:tc>
        <w:tc>
          <w:tcPr>
            <w:tcW w:w="114" w:type="pct"/>
            <w:tcBorders>
              <w:top w:val="nil"/>
              <w:left w:val="nil"/>
              <w:bottom w:val="nil"/>
              <w:right w:val="nil"/>
            </w:tcBorders>
            <w:shd w:val="clear" w:color="auto" w:fill="auto"/>
            <w:vAlign w:val="center"/>
          </w:tcPr>
          <w:p w:rsidR="00061FA4" w:rsidRDefault="00061FA4" w:rsidP="00061FA4">
            <w:pPr>
              <w:widowControl/>
              <w:jc w:val="center"/>
              <w:textAlignment w:val="center"/>
              <w:rPr>
                <w:rFonts w:ascii="宋体" w:hAnsi="宋体" w:cs="宋体"/>
                <w:b/>
                <w:color w:val="000000"/>
                <w:kern w:val="0"/>
                <w:szCs w:val="32"/>
              </w:rPr>
            </w:pPr>
          </w:p>
        </w:tc>
      </w:tr>
      <w:tr w:rsidR="00061FA4" w:rsidRPr="0096500D" w:rsidTr="00E45355">
        <w:trPr>
          <w:gridAfter w:val="1"/>
          <w:wAfter w:w="114" w:type="pct"/>
          <w:trHeight w:val="254"/>
        </w:trPr>
        <w:tc>
          <w:tcPr>
            <w:tcW w:w="15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主管部门及代码</w:t>
            </w:r>
          </w:p>
        </w:tc>
        <w:tc>
          <w:tcPr>
            <w:tcW w:w="151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textAlignment w:val="center"/>
              <w:rPr>
                <w:rFonts w:ascii="宋体" w:hAnsi="宋体" w:cs="宋体"/>
                <w:color w:val="000000"/>
                <w:sz w:val="20"/>
                <w:szCs w:val="20"/>
              </w:rPr>
            </w:pPr>
            <w:r w:rsidRPr="0096500D">
              <w:rPr>
                <w:rFonts w:ascii="宋体" w:hAnsi="宋体" w:cs="宋体" w:hint="eastAsia"/>
                <w:color w:val="000000"/>
                <w:sz w:val="20"/>
                <w:szCs w:val="20"/>
              </w:rPr>
              <w:t>203301</w:t>
            </w: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实施单位</w:t>
            </w:r>
          </w:p>
        </w:tc>
        <w:tc>
          <w:tcPr>
            <w:tcW w:w="12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sz w:val="20"/>
                <w:szCs w:val="20"/>
              </w:rPr>
              <w:t>中共四川省委政法委员会</w:t>
            </w:r>
          </w:p>
        </w:tc>
      </w:tr>
      <w:tr w:rsidR="00061FA4" w:rsidRPr="0096500D" w:rsidTr="00E45355">
        <w:trPr>
          <w:gridAfter w:val="1"/>
          <w:wAfter w:w="114" w:type="pct"/>
          <w:trHeight w:val="341"/>
        </w:trPr>
        <w:tc>
          <w:tcPr>
            <w:tcW w:w="15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项目预算</w:t>
            </w:r>
            <w:r w:rsidRPr="0096500D">
              <w:rPr>
                <w:rFonts w:ascii="宋体" w:hAnsi="宋体" w:cs="宋体" w:hint="eastAsia"/>
                <w:color w:val="000000"/>
                <w:kern w:val="0"/>
                <w:sz w:val="20"/>
                <w:szCs w:val="20"/>
              </w:rPr>
              <w:br/>
              <w:t>执行情况</w:t>
            </w:r>
            <w:r w:rsidRPr="0096500D">
              <w:rPr>
                <w:rFonts w:ascii="宋体" w:hAnsi="宋体" w:cs="宋体" w:hint="eastAsia"/>
                <w:color w:val="000000"/>
                <w:kern w:val="0"/>
                <w:sz w:val="20"/>
                <w:szCs w:val="20"/>
              </w:rPr>
              <w:br/>
              <w:t>（万元）</w:t>
            </w: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 xml:space="preserve"> 预算数：</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left"/>
              <w:textAlignment w:val="center"/>
              <w:rPr>
                <w:rFonts w:ascii="宋体" w:hAnsi="宋体" w:cs="宋体"/>
                <w:color w:val="000000"/>
                <w:sz w:val="20"/>
                <w:szCs w:val="20"/>
              </w:rPr>
            </w:pPr>
            <w:r w:rsidRPr="0096500D">
              <w:rPr>
                <w:rFonts w:ascii="宋体" w:hAnsi="宋体" w:cs="宋体"/>
                <w:color w:val="000000"/>
                <w:sz w:val="20"/>
                <w:szCs w:val="20"/>
              </w:rPr>
              <w:t>386.14</w:t>
            </w: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 xml:space="preserve"> 执行数：</w:t>
            </w:r>
          </w:p>
        </w:tc>
        <w:tc>
          <w:tcPr>
            <w:tcW w:w="12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right"/>
              <w:textAlignment w:val="center"/>
              <w:rPr>
                <w:rFonts w:ascii="宋体" w:hAnsi="宋体" w:cs="宋体"/>
                <w:color w:val="000000"/>
                <w:sz w:val="20"/>
                <w:szCs w:val="20"/>
              </w:rPr>
            </w:pPr>
            <w:r w:rsidRPr="0096500D">
              <w:rPr>
                <w:rFonts w:ascii="宋体" w:hAnsi="宋体" w:cs="宋体"/>
                <w:color w:val="000000"/>
                <w:sz w:val="20"/>
                <w:szCs w:val="20"/>
              </w:rPr>
              <w:t>386.14</w:t>
            </w:r>
          </w:p>
        </w:tc>
      </w:tr>
      <w:tr w:rsidR="00061FA4" w:rsidRPr="0096500D" w:rsidTr="00E45355">
        <w:trPr>
          <w:gridAfter w:val="1"/>
          <w:wAfter w:w="114" w:type="pct"/>
          <w:trHeight w:val="577"/>
        </w:trPr>
        <w:tc>
          <w:tcPr>
            <w:tcW w:w="15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spacing w:line="320" w:lineRule="exact"/>
              <w:jc w:val="center"/>
              <w:rPr>
                <w:rFonts w:ascii="宋体" w:hAnsi="宋体" w:cs="宋体"/>
                <w:color w:val="000000"/>
                <w:sz w:val="20"/>
                <w:szCs w:val="20"/>
              </w:rPr>
            </w:pP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left"/>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其中：</w:t>
            </w:r>
          </w:p>
          <w:p w:rsidR="00061FA4" w:rsidRPr="0096500D" w:rsidRDefault="00061FA4" w:rsidP="00061FA4">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财政拨款</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left"/>
              <w:textAlignment w:val="center"/>
              <w:rPr>
                <w:rFonts w:ascii="宋体" w:hAnsi="宋体" w:cs="宋体"/>
                <w:color w:val="000000"/>
                <w:sz w:val="20"/>
                <w:szCs w:val="20"/>
              </w:rPr>
            </w:pPr>
            <w:r w:rsidRPr="0096500D">
              <w:rPr>
                <w:rFonts w:ascii="宋体" w:hAnsi="宋体" w:cs="宋体"/>
                <w:color w:val="000000"/>
                <w:sz w:val="20"/>
                <w:szCs w:val="20"/>
              </w:rPr>
              <w:t>386.14</w:t>
            </w: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left"/>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其中：</w:t>
            </w:r>
          </w:p>
          <w:p w:rsidR="00061FA4" w:rsidRPr="0096500D" w:rsidRDefault="00061FA4" w:rsidP="00061FA4">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财政拨款</w:t>
            </w:r>
          </w:p>
        </w:tc>
        <w:tc>
          <w:tcPr>
            <w:tcW w:w="12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right"/>
              <w:textAlignment w:val="center"/>
              <w:rPr>
                <w:rFonts w:ascii="宋体" w:hAnsi="宋体" w:cs="宋体"/>
                <w:color w:val="000000"/>
                <w:sz w:val="20"/>
                <w:szCs w:val="20"/>
              </w:rPr>
            </w:pPr>
            <w:r w:rsidRPr="0096500D">
              <w:rPr>
                <w:rFonts w:ascii="宋体" w:hAnsi="宋体" w:cs="宋体"/>
                <w:color w:val="000000"/>
                <w:sz w:val="20"/>
                <w:szCs w:val="20"/>
              </w:rPr>
              <w:t>386.14</w:t>
            </w:r>
          </w:p>
        </w:tc>
      </w:tr>
      <w:tr w:rsidR="00061FA4" w:rsidRPr="0096500D" w:rsidTr="00E45355">
        <w:trPr>
          <w:gridAfter w:val="1"/>
          <w:wAfter w:w="114" w:type="pct"/>
          <w:trHeight w:val="341"/>
        </w:trPr>
        <w:tc>
          <w:tcPr>
            <w:tcW w:w="15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spacing w:line="320" w:lineRule="exact"/>
              <w:jc w:val="center"/>
              <w:rPr>
                <w:rFonts w:ascii="宋体" w:hAnsi="宋体" w:cs="宋体"/>
                <w:color w:val="000000"/>
                <w:sz w:val="20"/>
                <w:szCs w:val="20"/>
              </w:rPr>
            </w:pP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其他资金</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left"/>
              <w:textAlignment w:val="center"/>
              <w:rPr>
                <w:rFonts w:ascii="宋体" w:hAnsi="宋体" w:cs="宋体"/>
                <w:color w:val="000000"/>
                <w:sz w:val="20"/>
                <w:szCs w:val="20"/>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其他资金</w:t>
            </w:r>
          </w:p>
        </w:tc>
        <w:tc>
          <w:tcPr>
            <w:tcW w:w="12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center"/>
              <w:rPr>
                <w:rFonts w:ascii="宋体" w:hAnsi="宋体" w:cs="宋体"/>
                <w:color w:val="000000"/>
                <w:sz w:val="20"/>
                <w:szCs w:val="20"/>
              </w:rPr>
            </w:pPr>
          </w:p>
        </w:tc>
      </w:tr>
      <w:tr w:rsidR="00061FA4" w:rsidRPr="0096500D" w:rsidTr="00E45355">
        <w:trPr>
          <w:gridAfter w:val="1"/>
          <w:wAfter w:w="114" w:type="pct"/>
          <w:trHeight w:val="217"/>
        </w:trPr>
        <w:tc>
          <w:tcPr>
            <w:tcW w:w="10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年度总体目标</w:t>
            </w:r>
          </w:p>
          <w:p w:rsidR="00061FA4" w:rsidRPr="0096500D" w:rsidRDefault="00061FA4" w:rsidP="00061FA4">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完成情况</w:t>
            </w:r>
          </w:p>
        </w:tc>
        <w:tc>
          <w:tcPr>
            <w:tcW w:w="2098" w:type="pct"/>
            <w:gridSpan w:val="4"/>
            <w:tcBorders>
              <w:top w:val="single" w:sz="4" w:space="0" w:color="000000"/>
              <w:left w:val="single" w:sz="4" w:space="0" w:color="000000"/>
              <w:bottom w:val="single" w:sz="4" w:space="0" w:color="000000"/>
              <w:right w:val="single" w:sz="4" w:space="0" w:color="000000"/>
            </w:tcBorders>
            <w:shd w:val="clear" w:color="auto" w:fill="auto"/>
          </w:tcPr>
          <w:p w:rsidR="00061FA4" w:rsidRPr="0096500D" w:rsidRDefault="00061FA4" w:rsidP="00061FA4">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预期目标</w:t>
            </w:r>
          </w:p>
        </w:tc>
        <w:tc>
          <w:tcPr>
            <w:tcW w:w="1788" w:type="pct"/>
            <w:gridSpan w:val="3"/>
            <w:tcBorders>
              <w:top w:val="single" w:sz="4" w:space="0" w:color="000000"/>
              <w:left w:val="single" w:sz="4" w:space="0" w:color="000000"/>
              <w:bottom w:val="single" w:sz="4" w:space="0" w:color="000000"/>
              <w:right w:val="single" w:sz="4" w:space="0" w:color="000000"/>
            </w:tcBorders>
            <w:shd w:val="clear" w:color="auto" w:fill="auto"/>
          </w:tcPr>
          <w:p w:rsidR="00061FA4" w:rsidRPr="0096500D" w:rsidRDefault="00061FA4" w:rsidP="00061FA4">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目标实际完成情况</w:t>
            </w:r>
          </w:p>
        </w:tc>
      </w:tr>
      <w:tr w:rsidR="00061FA4" w:rsidRPr="0096500D" w:rsidTr="00E45355">
        <w:trPr>
          <w:gridAfter w:val="1"/>
          <w:wAfter w:w="114" w:type="pct"/>
          <w:trHeight w:val="1297"/>
        </w:trPr>
        <w:tc>
          <w:tcPr>
            <w:tcW w:w="1000" w:type="pct"/>
            <w:vMerge/>
            <w:tcBorders>
              <w:top w:val="single" w:sz="4" w:space="0" w:color="000000"/>
              <w:left w:val="single" w:sz="4" w:space="0" w:color="000000"/>
              <w:bottom w:val="single" w:sz="4" w:space="0" w:color="000000"/>
              <w:right w:val="single" w:sz="4" w:space="0" w:color="000000"/>
            </w:tcBorders>
            <w:shd w:val="clear" w:color="auto" w:fill="auto"/>
          </w:tcPr>
          <w:p w:rsidR="00061FA4" w:rsidRPr="0096500D" w:rsidRDefault="00061FA4" w:rsidP="00061FA4">
            <w:pPr>
              <w:spacing w:line="320" w:lineRule="exact"/>
              <w:jc w:val="center"/>
              <w:rPr>
                <w:rFonts w:ascii="宋体" w:hAnsi="宋体" w:cs="宋体"/>
                <w:color w:val="000000"/>
                <w:sz w:val="20"/>
                <w:szCs w:val="20"/>
              </w:rPr>
            </w:pPr>
          </w:p>
        </w:tc>
        <w:tc>
          <w:tcPr>
            <w:tcW w:w="2098" w:type="pct"/>
            <w:gridSpan w:val="4"/>
            <w:tcBorders>
              <w:top w:val="single" w:sz="4" w:space="0" w:color="000000"/>
              <w:left w:val="single" w:sz="4" w:space="0" w:color="000000"/>
              <w:bottom w:val="single" w:sz="4" w:space="0" w:color="000000"/>
              <w:right w:val="single" w:sz="4" w:space="0" w:color="000000"/>
            </w:tcBorders>
            <w:shd w:val="clear" w:color="auto" w:fill="auto"/>
          </w:tcPr>
          <w:p w:rsidR="00061FA4" w:rsidRPr="0096500D" w:rsidRDefault="00061FA4" w:rsidP="00061FA4">
            <w:pPr>
              <w:widowControl/>
              <w:spacing w:line="320" w:lineRule="exact"/>
              <w:jc w:val="left"/>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通过对委机关计算机网络信息安全、党政内网网站、政法委机关统一工作平台、涉密局域网、智能文件交换系统、高清视频会议系统等</w:t>
            </w:r>
            <w:r w:rsidRPr="0096500D">
              <w:rPr>
                <w:rFonts w:ascii="仿宋_GB2312" w:hAnsi="仿宋_GB2312" w:cs="仿宋_GB2312" w:hint="eastAsia"/>
                <w:color w:val="000000"/>
                <w:sz w:val="20"/>
                <w:szCs w:val="20"/>
              </w:rPr>
              <w:t>14</w:t>
            </w:r>
            <w:r w:rsidRPr="0096500D">
              <w:rPr>
                <w:rFonts w:ascii="仿宋_GB2312" w:hAnsi="仿宋_GB2312" w:cs="仿宋_GB2312" w:hint="eastAsia"/>
                <w:color w:val="000000"/>
                <w:sz w:val="20"/>
                <w:szCs w:val="20"/>
              </w:rPr>
              <w:t>个系统的运行维护及应用系统迁移</w:t>
            </w:r>
            <w:proofErr w:type="gramStart"/>
            <w:r w:rsidRPr="0096500D">
              <w:rPr>
                <w:rFonts w:ascii="仿宋_GB2312" w:hAnsi="仿宋_GB2312" w:cs="仿宋_GB2312" w:hint="eastAsia"/>
                <w:color w:val="000000"/>
                <w:sz w:val="20"/>
                <w:szCs w:val="20"/>
              </w:rPr>
              <w:t>后等保测评</w:t>
            </w:r>
            <w:proofErr w:type="gramEnd"/>
            <w:r w:rsidRPr="0096500D">
              <w:rPr>
                <w:rFonts w:ascii="仿宋_GB2312" w:hAnsi="仿宋_GB2312" w:cs="仿宋_GB2312" w:hint="eastAsia"/>
                <w:color w:val="000000"/>
                <w:sz w:val="20"/>
                <w:szCs w:val="20"/>
              </w:rPr>
              <w:t>，有效保障办公信息化工作，确保所有信息系统能安全、高效运转。</w:t>
            </w:r>
          </w:p>
        </w:tc>
        <w:tc>
          <w:tcPr>
            <w:tcW w:w="1788" w:type="pct"/>
            <w:gridSpan w:val="3"/>
            <w:tcBorders>
              <w:top w:val="single" w:sz="4" w:space="0" w:color="000000"/>
              <w:left w:val="single" w:sz="4" w:space="0" w:color="000000"/>
              <w:bottom w:val="single" w:sz="4" w:space="0" w:color="000000"/>
              <w:right w:val="single" w:sz="4" w:space="0" w:color="000000"/>
            </w:tcBorders>
            <w:shd w:val="clear" w:color="auto" w:fill="auto"/>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2021</w:t>
            </w:r>
            <w:r w:rsidRPr="0096500D">
              <w:rPr>
                <w:rFonts w:ascii="仿宋_GB2312" w:hAnsi="仿宋_GB2312" w:cs="仿宋_GB2312" w:hint="eastAsia"/>
                <w:color w:val="000000"/>
                <w:sz w:val="20"/>
                <w:szCs w:val="20"/>
              </w:rPr>
              <w:t>年完成了对委机关计算机网络信息安全、党政内网网站、政法委机关统一工作平台、涉密局域网、智能文件交换系统、高清视频会议系统等</w:t>
            </w:r>
            <w:r w:rsidRPr="0096500D">
              <w:rPr>
                <w:rFonts w:ascii="仿宋_GB2312" w:hAnsi="仿宋_GB2312" w:cs="仿宋_GB2312" w:hint="eastAsia"/>
                <w:color w:val="000000"/>
                <w:sz w:val="20"/>
                <w:szCs w:val="20"/>
              </w:rPr>
              <w:t>14</w:t>
            </w:r>
            <w:r w:rsidRPr="0096500D">
              <w:rPr>
                <w:rFonts w:ascii="仿宋_GB2312" w:hAnsi="仿宋_GB2312" w:cs="仿宋_GB2312" w:hint="eastAsia"/>
                <w:color w:val="000000"/>
                <w:sz w:val="20"/>
                <w:szCs w:val="20"/>
              </w:rPr>
              <w:t>个系统的运行维护及应用系统迁移</w:t>
            </w:r>
            <w:proofErr w:type="gramStart"/>
            <w:r w:rsidRPr="0096500D">
              <w:rPr>
                <w:rFonts w:ascii="仿宋_GB2312" w:hAnsi="仿宋_GB2312" w:cs="仿宋_GB2312" w:hint="eastAsia"/>
                <w:color w:val="000000"/>
                <w:sz w:val="20"/>
                <w:szCs w:val="20"/>
              </w:rPr>
              <w:t>后等保测评</w:t>
            </w:r>
            <w:proofErr w:type="gramEnd"/>
            <w:r w:rsidRPr="0096500D">
              <w:rPr>
                <w:rFonts w:ascii="仿宋_GB2312" w:hAnsi="仿宋_GB2312" w:cs="仿宋_GB2312" w:hint="eastAsia"/>
                <w:color w:val="000000"/>
                <w:sz w:val="20"/>
                <w:szCs w:val="20"/>
              </w:rPr>
              <w:t>工作，有效保障了办公信息化工作，确保了所有信息系统能安全、高效运转。</w:t>
            </w:r>
          </w:p>
        </w:tc>
      </w:tr>
      <w:tr w:rsidR="00061FA4" w:rsidRPr="0096500D" w:rsidTr="00E45355">
        <w:trPr>
          <w:gridAfter w:val="1"/>
          <w:wAfter w:w="114" w:type="pct"/>
          <w:trHeight w:val="738"/>
        </w:trPr>
        <w:tc>
          <w:tcPr>
            <w:tcW w:w="1000" w:type="pct"/>
            <w:vMerge w:val="restart"/>
            <w:tcBorders>
              <w:top w:val="single" w:sz="4" w:space="0" w:color="000000"/>
              <w:left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center"/>
              <w:rPr>
                <w:rFonts w:ascii="仿宋_GB2312" w:hAnsi="仿宋_GB2312" w:cs="仿宋_GB2312"/>
                <w:color w:val="000000"/>
                <w:sz w:val="20"/>
                <w:szCs w:val="20"/>
              </w:rPr>
            </w:pPr>
            <w:r w:rsidRPr="0096500D">
              <w:rPr>
                <w:rFonts w:ascii="宋体" w:hAnsi="宋体" w:cs="宋体" w:hint="eastAsia"/>
                <w:color w:val="000000"/>
                <w:kern w:val="0"/>
                <w:sz w:val="20"/>
                <w:szCs w:val="20"/>
              </w:rPr>
              <w:t>年度绩效指标完成情况</w:t>
            </w:r>
          </w:p>
        </w:tc>
        <w:tc>
          <w:tcPr>
            <w:tcW w:w="582" w:type="pct"/>
            <w:tcBorders>
              <w:top w:val="single" w:sz="4" w:space="0" w:color="000000"/>
              <w:left w:val="nil"/>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一级</w:t>
            </w:r>
          </w:p>
          <w:p w:rsidR="00061FA4" w:rsidRPr="0096500D" w:rsidRDefault="00061FA4" w:rsidP="00061FA4">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二级</w:t>
            </w:r>
          </w:p>
          <w:p w:rsidR="00061FA4" w:rsidRPr="0096500D" w:rsidRDefault="00061FA4" w:rsidP="00061FA4">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三级</w:t>
            </w:r>
          </w:p>
          <w:p w:rsidR="00061FA4" w:rsidRPr="0096500D" w:rsidRDefault="00061FA4" w:rsidP="00061FA4">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预期指标值</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实际完成指标值</w:t>
            </w:r>
          </w:p>
        </w:tc>
      </w:tr>
      <w:tr w:rsidR="00061FA4" w:rsidRPr="0096500D" w:rsidTr="00E45355">
        <w:trPr>
          <w:gridAfter w:val="1"/>
          <w:wAfter w:w="114" w:type="pct"/>
          <w:trHeight w:val="480"/>
        </w:trPr>
        <w:tc>
          <w:tcPr>
            <w:tcW w:w="1000" w:type="pct"/>
            <w:vMerge/>
            <w:tcBorders>
              <w:left w:val="single" w:sz="4" w:space="0" w:color="000000"/>
              <w:right w:val="single" w:sz="4" w:space="0" w:color="000000"/>
            </w:tcBorders>
            <w:shd w:val="clear" w:color="auto" w:fill="auto"/>
            <w:vAlign w:val="center"/>
          </w:tcPr>
          <w:p w:rsidR="00061FA4" w:rsidRPr="0096500D" w:rsidRDefault="00061FA4" w:rsidP="00061FA4">
            <w:pPr>
              <w:spacing w:line="320" w:lineRule="exact"/>
              <w:jc w:val="center"/>
              <w:rPr>
                <w:rFonts w:ascii="仿宋_GB2312" w:hAnsi="仿宋_GB2312" w:cs="仿宋_GB2312"/>
                <w:color w:val="000000"/>
                <w:sz w:val="20"/>
                <w:szCs w:val="20"/>
              </w:rPr>
            </w:pPr>
          </w:p>
        </w:tc>
        <w:tc>
          <w:tcPr>
            <w:tcW w:w="582" w:type="pct"/>
            <w:vMerge w:val="restart"/>
            <w:tcBorders>
              <w:top w:val="single" w:sz="4" w:space="0" w:color="000000"/>
              <w:left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完成</w:t>
            </w:r>
          </w:p>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指标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系统升级、运维服务系统个数</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14</w:t>
            </w:r>
            <w:r w:rsidRPr="0096500D">
              <w:rPr>
                <w:rFonts w:ascii="仿宋_GB2312" w:hAnsi="仿宋_GB2312" w:cs="仿宋_GB2312" w:hint="eastAsia"/>
                <w:color w:val="000000"/>
                <w:sz w:val="20"/>
                <w:szCs w:val="20"/>
              </w:rPr>
              <w:t>个</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14</w:t>
            </w:r>
            <w:r w:rsidRPr="0096500D">
              <w:rPr>
                <w:rFonts w:ascii="仿宋_GB2312" w:hAnsi="仿宋_GB2312" w:cs="仿宋_GB2312" w:hint="eastAsia"/>
                <w:color w:val="000000"/>
                <w:sz w:val="20"/>
                <w:szCs w:val="20"/>
              </w:rPr>
              <w:t>个</w:t>
            </w:r>
          </w:p>
        </w:tc>
      </w:tr>
      <w:tr w:rsidR="00061FA4" w:rsidRPr="0096500D" w:rsidTr="00E45355">
        <w:trPr>
          <w:gridAfter w:val="1"/>
          <w:wAfter w:w="114" w:type="pct"/>
          <w:trHeight w:val="480"/>
        </w:trPr>
        <w:tc>
          <w:tcPr>
            <w:tcW w:w="1000" w:type="pct"/>
            <w:vMerge/>
            <w:tcBorders>
              <w:left w:val="single" w:sz="4" w:space="0" w:color="000000"/>
              <w:right w:val="single" w:sz="4" w:space="0" w:color="000000"/>
            </w:tcBorders>
            <w:shd w:val="clear" w:color="auto" w:fill="auto"/>
            <w:vAlign w:val="center"/>
          </w:tcPr>
          <w:p w:rsidR="00061FA4" w:rsidRPr="0096500D" w:rsidRDefault="00061FA4" w:rsidP="00061FA4">
            <w:pPr>
              <w:spacing w:line="320" w:lineRule="exact"/>
              <w:jc w:val="center"/>
              <w:rPr>
                <w:rFonts w:ascii="仿宋_GB2312" w:hAnsi="仿宋_GB2312" w:cs="仿宋_GB2312"/>
                <w:color w:val="000000"/>
                <w:sz w:val="20"/>
                <w:szCs w:val="20"/>
              </w:rPr>
            </w:pPr>
          </w:p>
        </w:tc>
        <w:tc>
          <w:tcPr>
            <w:tcW w:w="582" w:type="pct"/>
            <w:vMerge/>
            <w:tcBorders>
              <w:left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proofErr w:type="gramStart"/>
            <w:r w:rsidRPr="0096500D">
              <w:rPr>
                <w:rFonts w:ascii="仿宋_GB2312" w:hAnsi="仿宋_GB2312" w:cs="仿宋_GB2312" w:hint="eastAsia"/>
                <w:color w:val="000000"/>
                <w:sz w:val="20"/>
                <w:szCs w:val="20"/>
              </w:rPr>
              <w:t>等保测评</w:t>
            </w:r>
            <w:proofErr w:type="gramEnd"/>
            <w:r w:rsidRPr="0096500D">
              <w:rPr>
                <w:rFonts w:ascii="仿宋_GB2312" w:hAnsi="仿宋_GB2312" w:cs="仿宋_GB2312" w:hint="eastAsia"/>
                <w:color w:val="000000"/>
                <w:sz w:val="20"/>
                <w:szCs w:val="20"/>
              </w:rPr>
              <w:t>系统数</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4</w:t>
            </w:r>
            <w:r w:rsidRPr="0096500D">
              <w:rPr>
                <w:rFonts w:ascii="仿宋_GB2312" w:hAnsi="仿宋_GB2312" w:cs="仿宋_GB2312" w:hint="eastAsia"/>
                <w:color w:val="000000"/>
                <w:sz w:val="20"/>
                <w:szCs w:val="20"/>
              </w:rPr>
              <w:t>个</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4</w:t>
            </w:r>
            <w:r w:rsidRPr="0096500D">
              <w:rPr>
                <w:rFonts w:ascii="仿宋_GB2312" w:hAnsi="仿宋_GB2312" w:cs="仿宋_GB2312" w:hint="eastAsia"/>
                <w:color w:val="000000"/>
                <w:sz w:val="20"/>
                <w:szCs w:val="20"/>
              </w:rPr>
              <w:t>个</w:t>
            </w:r>
          </w:p>
        </w:tc>
      </w:tr>
      <w:tr w:rsidR="00061FA4" w:rsidRPr="0096500D" w:rsidTr="00E45355">
        <w:trPr>
          <w:gridAfter w:val="1"/>
          <w:wAfter w:w="114" w:type="pct"/>
          <w:trHeight w:val="480"/>
        </w:trPr>
        <w:tc>
          <w:tcPr>
            <w:tcW w:w="1000" w:type="pct"/>
            <w:vMerge/>
            <w:tcBorders>
              <w:left w:val="single" w:sz="4" w:space="0" w:color="000000"/>
              <w:right w:val="single" w:sz="4" w:space="0" w:color="000000"/>
            </w:tcBorders>
            <w:shd w:val="clear" w:color="auto" w:fill="auto"/>
            <w:vAlign w:val="center"/>
          </w:tcPr>
          <w:p w:rsidR="00061FA4" w:rsidRPr="0096500D" w:rsidRDefault="00061FA4" w:rsidP="00061FA4">
            <w:pPr>
              <w:spacing w:line="320" w:lineRule="exact"/>
              <w:jc w:val="center"/>
              <w:rPr>
                <w:rFonts w:ascii="仿宋_GB2312" w:hAnsi="仿宋_GB2312" w:cs="仿宋_GB2312"/>
                <w:color w:val="000000"/>
                <w:sz w:val="20"/>
                <w:szCs w:val="20"/>
              </w:rPr>
            </w:pPr>
          </w:p>
        </w:tc>
        <w:tc>
          <w:tcPr>
            <w:tcW w:w="582" w:type="pct"/>
            <w:vMerge/>
            <w:tcBorders>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质量指标</w:t>
            </w: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各系统正常运行率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96%</w:t>
            </w:r>
            <w:r w:rsidRPr="0096500D">
              <w:rPr>
                <w:rFonts w:ascii="仿宋_GB2312" w:hAnsi="仿宋_GB2312" w:cs="仿宋_GB2312" w:hint="eastAsia"/>
                <w:color w:val="000000"/>
                <w:sz w:val="20"/>
                <w:szCs w:val="20"/>
              </w:rPr>
              <w:t>以上</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99%</w:t>
            </w:r>
          </w:p>
        </w:tc>
      </w:tr>
      <w:tr w:rsidR="00061FA4" w:rsidRPr="0096500D" w:rsidTr="00E45355">
        <w:trPr>
          <w:gridAfter w:val="1"/>
          <w:wAfter w:w="114" w:type="pct"/>
          <w:trHeight w:val="480"/>
        </w:trPr>
        <w:tc>
          <w:tcPr>
            <w:tcW w:w="1000" w:type="pct"/>
            <w:vMerge/>
            <w:tcBorders>
              <w:left w:val="single" w:sz="4" w:space="0" w:color="000000"/>
              <w:right w:val="single" w:sz="4" w:space="0" w:color="000000"/>
            </w:tcBorders>
            <w:shd w:val="clear" w:color="auto" w:fill="auto"/>
            <w:vAlign w:val="center"/>
          </w:tcPr>
          <w:p w:rsidR="00061FA4" w:rsidRPr="0096500D" w:rsidRDefault="00061FA4" w:rsidP="00061FA4">
            <w:pPr>
              <w:spacing w:line="320" w:lineRule="exact"/>
              <w:jc w:val="center"/>
              <w:rPr>
                <w:rFonts w:ascii="仿宋_GB2312" w:hAnsi="仿宋_GB2312" w:cs="仿宋_GB2312"/>
                <w:color w:val="00000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社会效益指标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社会效益</w:t>
            </w:r>
            <w:r w:rsidRPr="0096500D">
              <w:rPr>
                <w:rFonts w:ascii="仿宋_GB2312" w:hAnsi="仿宋_GB2312" w:cs="仿宋_GB2312" w:hint="eastAsia"/>
                <w:color w:val="000000"/>
                <w:sz w:val="20"/>
                <w:szCs w:val="20"/>
              </w:rPr>
              <w:t xml:space="preserve">  </w:t>
            </w:r>
            <w:r w:rsidRPr="0096500D">
              <w:rPr>
                <w:rFonts w:ascii="仿宋_GB2312" w:hAnsi="仿宋_GB2312" w:cs="仿宋_GB2312" w:hint="eastAsia"/>
                <w:color w:val="000000"/>
                <w:sz w:val="20"/>
                <w:szCs w:val="20"/>
              </w:rPr>
              <w:t>指标</w:t>
            </w: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保障委机关信息化应用，为政法中心工作开展提供有力保障</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保障委机关信息化应用，为政法中心工作开展提供有力保障</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保障委机关信息化应用，为政法中心工作开展提供有力保障</w:t>
            </w:r>
          </w:p>
        </w:tc>
      </w:tr>
      <w:tr w:rsidR="00061FA4" w:rsidRPr="0096500D" w:rsidTr="00E45355">
        <w:trPr>
          <w:gridAfter w:val="1"/>
          <w:wAfter w:w="114" w:type="pct"/>
          <w:trHeight w:val="480"/>
        </w:trPr>
        <w:tc>
          <w:tcPr>
            <w:tcW w:w="1000" w:type="pct"/>
            <w:vMerge/>
            <w:tcBorders>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spacing w:line="320" w:lineRule="exact"/>
              <w:jc w:val="center"/>
              <w:rPr>
                <w:rFonts w:ascii="仿宋_GB2312" w:hAnsi="仿宋_GB2312" w:cs="仿宋_GB2312"/>
                <w:color w:val="00000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proofErr w:type="gramStart"/>
            <w:r w:rsidRPr="0096500D">
              <w:rPr>
                <w:rFonts w:ascii="仿宋_GB2312" w:hAnsi="仿宋_GB2312" w:cs="仿宋_GB2312" w:hint="eastAsia"/>
                <w:color w:val="000000"/>
                <w:sz w:val="20"/>
                <w:szCs w:val="20"/>
              </w:rPr>
              <w:t>满意</w:t>
            </w:r>
            <w:proofErr w:type="gramEnd"/>
            <w:r w:rsidRPr="0096500D">
              <w:rPr>
                <w:rFonts w:ascii="仿宋_GB2312" w:hAnsi="仿宋_GB2312" w:cs="仿宋_GB2312" w:hint="eastAsia"/>
                <w:color w:val="000000"/>
                <w:sz w:val="20"/>
                <w:szCs w:val="20"/>
              </w:rPr>
              <w:br/>
            </w:r>
            <w:r w:rsidRPr="0096500D">
              <w:rPr>
                <w:rFonts w:ascii="仿宋_GB2312" w:hAnsi="仿宋_GB2312" w:cs="仿宋_GB2312" w:hint="eastAsia"/>
                <w:color w:val="000000"/>
                <w:sz w:val="20"/>
                <w:szCs w:val="20"/>
              </w:rPr>
              <w:t>度指标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满意度</w:t>
            </w:r>
          </w:p>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指标</w:t>
            </w: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服务对象满意度</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98%</w:t>
            </w:r>
            <w:r w:rsidRPr="0096500D">
              <w:rPr>
                <w:rFonts w:ascii="仿宋_GB2312" w:hAnsi="仿宋_GB2312" w:cs="仿宋_GB2312" w:hint="eastAsia"/>
                <w:color w:val="000000"/>
                <w:sz w:val="20"/>
                <w:szCs w:val="20"/>
              </w:rPr>
              <w:t>以上</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FA4" w:rsidRPr="0096500D" w:rsidRDefault="00061FA4" w:rsidP="00061FA4">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100%</w:t>
            </w:r>
          </w:p>
        </w:tc>
      </w:tr>
    </w:tbl>
    <w:p w:rsidR="00B6583F" w:rsidRPr="0096500D" w:rsidRDefault="00B6583F" w:rsidP="00B6583F">
      <w:pPr>
        <w:rPr>
          <w:sz w:val="20"/>
          <w:szCs w:val="20"/>
        </w:rPr>
      </w:pPr>
    </w:p>
    <w:p w:rsidR="00B6583F" w:rsidRDefault="00B6583F" w:rsidP="00B6583F"/>
    <w:p w:rsidR="00B6583F" w:rsidRDefault="00B6583F" w:rsidP="00B6583F"/>
    <w:p w:rsidR="00B6583F" w:rsidRDefault="00B6583F" w:rsidP="00B6583F"/>
    <w:p w:rsidR="00B6583F" w:rsidRDefault="00B6583F" w:rsidP="00B6583F"/>
    <w:p w:rsidR="00B6583F" w:rsidRDefault="00B6583F" w:rsidP="00B6583F"/>
    <w:p w:rsidR="00B6583F" w:rsidRDefault="00B6583F" w:rsidP="00B6583F">
      <w:pPr>
        <w:pStyle w:val="a0"/>
        <w:spacing w:before="93"/>
      </w:pPr>
    </w:p>
    <w:p w:rsidR="00B6583F" w:rsidRPr="000F119A" w:rsidRDefault="00B6583F" w:rsidP="00B6583F">
      <w:pPr>
        <w:pStyle w:val="a0"/>
        <w:spacing w:before="93"/>
      </w:pPr>
    </w:p>
    <w:tbl>
      <w:tblPr>
        <w:tblpPr w:leftFromText="180" w:rightFromText="180" w:vertAnchor="text" w:horzAnchor="page" w:tblpX="1256" w:tblpY="221"/>
        <w:tblOverlap w:val="never"/>
        <w:tblW w:w="5699" w:type="pct"/>
        <w:tblLook w:val="04A0"/>
      </w:tblPr>
      <w:tblGrid>
        <w:gridCol w:w="1991"/>
        <w:gridCol w:w="1152"/>
        <w:gridCol w:w="1325"/>
        <w:gridCol w:w="313"/>
        <w:gridCol w:w="1366"/>
        <w:gridCol w:w="1212"/>
        <w:gridCol w:w="268"/>
        <w:gridCol w:w="1861"/>
        <w:gridCol w:w="225"/>
      </w:tblGrid>
      <w:tr w:rsidR="00061FA4" w:rsidTr="00E45355">
        <w:trPr>
          <w:trHeight w:val="675"/>
        </w:trPr>
        <w:tc>
          <w:tcPr>
            <w:tcW w:w="4884" w:type="pct"/>
            <w:gridSpan w:val="8"/>
            <w:tcBorders>
              <w:top w:val="nil"/>
              <w:left w:val="nil"/>
              <w:bottom w:val="nil"/>
              <w:right w:val="nil"/>
            </w:tcBorders>
            <w:shd w:val="clear" w:color="auto" w:fill="auto"/>
            <w:vAlign w:val="center"/>
          </w:tcPr>
          <w:p w:rsidR="00061FA4" w:rsidRDefault="00061FA4" w:rsidP="00061FA4">
            <w:pPr>
              <w:widowControl/>
              <w:jc w:val="center"/>
              <w:textAlignment w:val="center"/>
              <w:rPr>
                <w:rFonts w:ascii="宋体" w:hAnsi="宋体" w:cs="宋体"/>
                <w:b/>
                <w:color w:val="000000"/>
                <w:sz w:val="32"/>
                <w:szCs w:val="32"/>
              </w:rPr>
            </w:pPr>
            <w:r w:rsidRPr="00AA5F92">
              <w:rPr>
                <w:rFonts w:ascii="宋体" w:hAnsi="宋体" w:cs="宋体" w:hint="eastAsia"/>
                <w:b/>
                <w:color w:val="000000"/>
                <w:sz w:val="32"/>
                <w:szCs w:val="32"/>
              </w:rPr>
              <w:t>2021年100万元以上（含）特定目标类部门预算项目绩效目标自评</w:t>
            </w:r>
          </w:p>
          <w:p w:rsidR="00061FA4" w:rsidRPr="00A97CC8" w:rsidRDefault="00061FA4" w:rsidP="00061FA4">
            <w:pPr>
              <w:widowControl/>
              <w:jc w:val="center"/>
              <w:textAlignment w:val="center"/>
            </w:pPr>
            <w:r w:rsidRPr="00A97CC8">
              <w:rPr>
                <w:rFonts w:ascii="宋体" w:hAnsi="宋体" w:cs="宋体" w:hint="eastAsia"/>
                <w:b/>
                <w:color w:val="000000"/>
                <w:sz w:val="32"/>
                <w:szCs w:val="32"/>
              </w:rPr>
              <w:t>（涉案财物系统业务升级改造项目）</w:t>
            </w:r>
          </w:p>
        </w:tc>
        <w:tc>
          <w:tcPr>
            <w:tcW w:w="116" w:type="pct"/>
            <w:tcBorders>
              <w:top w:val="nil"/>
              <w:left w:val="nil"/>
              <w:bottom w:val="nil"/>
              <w:right w:val="nil"/>
            </w:tcBorders>
            <w:shd w:val="clear" w:color="auto" w:fill="auto"/>
            <w:vAlign w:val="center"/>
          </w:tcPr>
          <w:p w:rsidR="00061FA4" w:rsidRDefault="00061FA4" w:rsidP="00061FA4">
            <w:pPr>
              <w:widowControl/>
              <w:jc w:val="center"/>
              <w:textAlignment w:val="center"/>
              <w:rPr>
                <w:rFonts w:ascii="宋体" w:hAnsi="宋体" w:cs="宋体"/>
                <w:b/>
                <w:color w:val="000000"/>
                <w:kern w:val="0"/>
                <w:szCs w:val="32"/>
              </w:rPr>
            </w:pPr>
          </w:p>
        </w:tc>
      </w:tr>
      <w:tr w:rsidR="00B6583F" w:rsidTr="00E45355">
        <w:trPr>
          <w:gridAfter w:val="1"/>
          <w:wAfter w:w="116" w:type="pct"/>
          <w:trHeight w:val="254"/>
        </w:trPr>
        <w:tc>
          <w:tcPr>
            <w:tcW w:w="16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主管部门及代码</w:t>
            </w: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061FA4">
            <w:pPr>
              <w:widowControl/>
              <w:spacing w:line="320" w:lineRule="exact"/>
              <w:textAlignment w:val="center"/>
              <w:rPr>
                <w:rFonts w:ascii="宋体" w:hAnsi="宋体" w:cs="宋体"/>
                <w:color w:val="000000"/>
                <w:sz w:val="20"/>
                <w:szCs w:val="20"/>
              </w:rPr>
            </w:pPr>
            <w:r w:rsidRPr="0096500D">
              <w:rPr>
                <w:rFonts w:ascii="宋体" w:hAnsi="宋体" w:cs="宋体" w:hint="eastAsia"/>
                <w:color w:val="000000"/>
                <w:sz w:val="20"/>
                <w:szCs w:val="20"/>
              </w:rPr>
              <w:t>203301</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实施单位</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sz w:val="20"/>
                <w:szCs w:val="20"/>
              </w:rPr>
              <w:t>中共四川省委政法委员会</w:t>
            </w:r>
          </w:p>
        </w:tc>
      </w:tr>
      <w:tr w:rsidR="00B6583F" w:rsidTr="00E45355">
        <w:trPr>
          <w:gridAfter w:val="1"/>
          <w:wAfter w:w="116" w:type="pct"/>
          <w:trHeight w:val="341"/>
        </w:trPr>
        <w:tc>
          <w:tcPr>
            <w:tcW w:w="161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项目预算</w:t>
            </w:r>
            <w:r w:rsidRPr="0096500D">
              <w:rPr>
                <w:rFonts w:ascii="宋体" w:hAnsi="宋体" w:cs="宋体" w:hint="eastAsia"/>
                <w:color w:val="000000"/>
                <w:kern w:val="0"/>
                <w:sz w:val="20"/>
                <w:szCs w:val="20"/>
              </w:rPr>
              <w:br/>
              <w:t>执行情况</w:t>
            </w:r>
            <w:r w:rsidRPr="0096500D">
              <w:rPr>
                <w:rFonts w:ascii="宋体" w:hAnsi="宋体" w:cs="宋体" w:hint="eastAsia"/>
                <w:color w:val="000000"/>
                <w:kern w:val="0"/>
                <w:sz w:val="20"/>
                <w:szCs w:val="20"/>
              </w:rPr>
              <w:br/>
              <w:t>（万元）</w:t>
            </w:r>
          </w:p>
        </w:tc>
        <w:tc>
          <w:tcPr>
            <w:tcW w:w="8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 xml:space="preserve"> 预算数：</w:t>
            </w:r>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sz w:val="20"/>
                <w:szCs w:val="20"/>
              </w:rPr>
              <w:t>418</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 xml:space="preserve"> 执行数：</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right"/>
              <w:textAlignment w:val="center"/>
              <w:rPr>
                <w:rFonts w:ascii="宋体" w:hAnsi="宋体" w:cs="宋体"/>
                <w:color w:val="000000"/>
                <w:sz w:val="20"/>
                <w:szCs w:val="20"/>
              </w:rPr>
            </w:pPr>
            <w:r w:rsidRPr="0096500D">
              <w:rPr>
                <w:rFonts w:ascii="宋体" w:hAnsi="宋体" w:cs="宋体" w:hint="eastAsia"/>
                <w:color w:val="000000"/>
                <w:sz w:val="20"/>
                <w:szCs w:val="20"/>
              </w:rPr>
              <w:t>163.44</w:t>
            </w:r>
          </w:p>
        </w:tc>
      </w:tr>
      <w:tr w:rsidR="00B6583F" w:rsidTr="00E45355">
        <w:trPr>
          <w:gridAfter w:val="1"/>
          <w:wAfter w:w="116" w:type="pct"/>
          <w:trHeight w:val="577"/>
        </w:trPr>
        <w:tc>
          <w:tcPr>
            <w:tcW w:w="161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宋体" w:hAnsi="宋体" w:cs="宋体"/>
                <w:color w:val="000000"/>
                <w:sz w:val="20"/>
                <w:szCs w:val="20"/>
              </w:rPr>
            </w:pPr>
          </w:p>
        </w:tc>
        <w:tc>
          <w:tcPr>
            <w:tcW w:w="8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其中：</w:t>
            </w:r>
          </w:p>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财政拨款</w:t>
            </w:r>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sz w:val="20"/>
                <w:szCs w:val="20"/>
              </w:rPr>
              <w:t>418</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其中：</w:t>
            </w:r>
          </w:p>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财政拨款</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right"/>
              <w:textAlignment w:val="center"/>
              <w:rPr>
                <w:rFonts w:ascii="宋体" w:hAnsi="宋体" w:cs="宋体"/>
                <w:color w:val="000000"/>
                <w:sz w:val="20"/>
                <w:szCs w:val="20"/>
              </w:rPr>
            </w:pPr>
            <w:r w:rsidRPr="0096500D">
              <w:rPr>
                <w:rFonts w:ascii="宋体" w:hAnsi="宋体" w:cs="宋体" w:hint="eastAsia"/>
                <w:color w:val="000000"/>
                <w:sz w:val="20"/>
                <w:szCs w:val="20"/>
              </w:rPr>
              <w:t>163.44</w:t>
            </w:r>
          </w:p>
        </w:tc>
      </w:tr>
      <w:tr w:rsidR="00B6583F" w:rsidTr="00E45355">
        <w:trPr>
          <w:gridAfter w:val="1"/>
          <w:wAfter w:w="116" w:type="pct"/>
          <w:trHeight w:val="341"/>
        </w:trPr>
        <w:tc>
          <w:tcPr>
            <w:tcW w:w="161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宋体" w:hAnsi="宋体" w:cs="宋体"/>
                <w:color w:val="000000"/>
                <w:sz w:val="20"/>
                <w:szCs w:val="20"/>
              </w:rPr>
            </w:pPr>
          </w:p>
        </w:tc>
        <w:tc>
          <w:tcPr>
            <w:tcW w:w="8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其他资金</w:t>
            </w:r>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其他资金</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p>
        </w:tc>
      </w:tr>
      <w:tr w:rsidR="00B6583F" w:rsidTr="00E45355">
        <w:trPr>
          <w:gridAfter w:val="1"/>
          <w:wAfter w:w="116" w:type="pct"/>
          <w:trHeight w:val="217"/>
        </w:trPr>
        <w:tc>
          <w:tcPr>
            <w:tcW w:w="10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年度总体目标</w:t>
            </w:r>
          </w:p>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完成情况</w:t>
            </w:r>
          </w:p>
        </w:tc>
        <w:tc>
          <w:tcPr>
            <w:tcW w:w="213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预期目标</w:t>
            </w:r>
          </w:p>
        </w:tc>
        <w:tc>
          <w:tcPr>
            <w:tcW w:w="172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目标实际完成情况</w:t>
            </w:r>
          </w:p>
        </w:tc>
      </w:tr>
      <w:tr w:rsidR="00B6583F" w:rsidTr="00E45355">
        <w:trPr>
          <w:gridAfter w:val="1"/>
          <w:wAfter w:w="116" w:type="pct"/>
          <w:trHeight w:val="1297"/>
        </w:trPr>
        <w:tc>
          <w:tcPr>
            <w:tcW w:w="10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宋体" w:hAnsi="宋体" w:cs="宋体"/>
                <w:color w:val="000000"/>
                <w:sz w:val="20"/>
                <w:szCs w:val="20"/>
              </w:rPr>
            </w:pPr>
          </w:p>
        </w:tc>
        <w:tc>
          <w:tcPr>
            <w:tcW w:w="2139" w:type="pct"/>
            <w:gridSpan w:val="4"/>
            <w:tcBorders>
              <w:top w:val="single" w:sz="4" w:space="0" w:color="000000"/>
              <w:left w:val="single" w:sz="4" w:space="0" w:color="000000"/>
              <w:bottom w:val="single" w:sz="4" w:space="0" w:color="000000"/>
              <w:right w:val="single" w:sz="4" w:space="0" w:color="000000"/>
            </w:tcBorders>
            <w:shd w:val="clear" w:color="auto" w:fill="auto"/>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全面实现规范数据管理做到“实时录入、随案流转、处置反馈”，“全面建成省级和中央信息平台，实现涉案财物信息互通共享，确保涉案财物管理规范、移送顺畅、处置及时</w:t>
            </w:r>
            <w:r w:rsidRPr="0096500D">
              <w:rPr>
                <w:rFonts w:ascii="仿宋_GB2312" w:hAnsi="仿宋_GB2312" w:cs="仿宋_GB2312" w:hint="eastAsia"/>
                <w:color w:val="000000"/>
                <w:sz w:val="20"/>
                <w:szCs w:val="20"/>
              </w:rPr>
              <w:t>,</w:t>
            </w:r>
            <w:r w:rsidRPr="0096500D">
              <w:rPr>
                <w:rFonts w:ascii="仿宋_GB2312" w:hAnsi="仿宋_GB2312" w:cs="仿宋_GB2312" w:hint="eastAsia"/>
                <w:color w:val="000000"/>
                <w:sz w:val="20"/>
                <w:szCs w:val="20"/>
              </w:rPr>
              <w:t>实现刑事诉讼中涉案财物集中管理的信息化、规范化，做到涉案财物信息的实时登记、随案移送、信息唯一、全程留痕、公开透明。”</w:t>
            </w:r>
          </w:p>
        </w:tc>
        <w:tc>
          <w:tcPr>
            <w:tcW w:w="1720" w:type="pct"/>
            <w:gridSpan w:val="3"/>
            <w:tcBorders>
              <w:top w:val="single" w:sz="4" w:space="0" w:color="000000"/>
              <w:left w:val="single" w:sz="4" w:space="0" w:color="000000"/>
              <w:bottom w:val="single" w:sz="4" w:space="0" w:color="000000"/>
              <w:right w:val="single" w:sz="4" w:space="0" w:color="000000"/>
            </w:tcBorders>
            <w:shd w:val="clear" w:color="auto" w:fill="auto"/>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项目还在实施过程中，目前已结合全省政法跨部门办案平台在全省部署上线，实现了实时登记、随案移送、全程留痕等目标，由于受疫情影响，原定应于</w:t>
            </w:r>
            <w:r w:rsidRPr="0096500D">
              <w:rPr>
                <w:rFonts w:ascii="仿宋_GB2312" w:hAnsi="仿宋_GB2312" w:cs="仿宋_GB2312" w:hint="eastAsia"/>
                <w:color w:val="000000"/>
                <w:sz w:val="20"/>
                <w:szCs w:val="20"/>
              </w:rPr>
              <w:t>2021</w:t>
            </w:r>
            <w:r w:rsidRPr="0096500D">
              <w:rPr>
                <w:rFonts w:ascii="仿宋_GB2312" w:hAnsi="仿宋_GB2312" w:cs="仿宋_GB2312" w:hint="eastAsia"/>
                <w:color w:val="000000"/>
                <w:sz w:val="20"/>
                <w:szCs w:val="20"/>
              </w:rPr>
              <w:t>年完成的涉案财物跨部门集中管理信息平台建设项目延期至</w:t>
            </w:r>
            <w:r w:rsidRPr="0096500D">
              <w:rPr>
                <w:rFonts w:ascii="仿宋_GB2312" w:hAnsi="仿宋_GB2312" w:cs="仿宋_GB2312" w:hint="eastAsia"/>
                <w:color w:val="000000"/>
                <w:sz w:val="20"/>
                <w:szCs w:val="20"/>
              </w:rPr>
              <w:t>2022</w:t>
            </w:r>
            <w:r w:rsidRPr="0096500D">
              <w:rPr>
                <w:rFonts w:ascii="仿宋_GB2312" w:hAnsi="仿宋_GB2312" w:cs="仿宋_GB2312" w:hint="eastAsia"/>
                <w:color w:val="000000"/>
                <w:sz w:val="20"/>
                <w:szCs w:val="20"/>
              </w:rPr>
              <w:t>年</w:t>
            </w:r>
            <w:r w:rsidRPr="0096500D">
              <w:rPr>
                <w:rFonts w:ascii="仿宋_GB2312" w:hAnsi="仿宋_GB2312" w:cs="仿宋_GB2312" w:hint="eastAsia"/>
                <w:color w:val="000000"/>
                <w:sz w:val="20"/>
                <w:szCs w:val="20"/>
              </w:rPr>
              <w:t>8</w:t>
            </w:r>
            <w:r w:rsidRPr="0096500D">
              <w:rPr>
                <w:rFonts w:ascii="仿宋_GB2312" w:hAnsi="仿宋_GB2312" w:cs="仿宋_GB2312" w:hint="eastAsia"/>
                <w:color w:val="000000"/>
                <w:sz w:val="20"/>
                <w:szCs w:val="20"/>
              </w:rPr>
              <w:t>月完成项目终验。</w:t>
            </w:r>
          </w:p>
        </w:tc>
      </w:tr>
      <w:tr w:rsidR="00B6583F" w:rsidTr="00E45355">
        <w:trPr>
          <w:gridAfter w:val="1"/>
          <w:wAfter w:w="116" w:type="pct"/>
          <w:trHeight w:val="738"/>
        </w:trPr>
        <w:tc>
          <w:tcPr>
            <w:tcW w:w="1025" w:type="pct"/>
            <w:vMerge w:val="restart"/>
            <w:tcBorders>
              <w:top w:val="single" w:sz="4" w:space="0" w:color="000000"/>
              <w:left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年度绩效指标完成情况</w:t>
            </w:r>
          </w:p>
        </w:tc>
        <w:tc>
          <w:tcPr>
            <w:tcW w:w="593" w:type="pct"/>
            <w:tcBorders>
              <w:top w:val="single" w:sz="4" w:space="0" w:color="000000"/>
              <w:left w:val="nil"/>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一级</w:t>
            </w:r>
          </w:p>
          <w:p w:rsidR="00B6583F" w:rsidRPr="0096500D" w:rsidRDefault="00B6583F" w:rsidP="00E453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二级</w:t>
            </w:r>
          </w:p>
          <w:p w:rsidR="00B6583F" w:rsidRPr="0096500D" w:rsidRDefault="00B6583F" w:rsidP="00E453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三级</w:t>
            </w:r>
          </w:p>
          <w:p w:rsidR="00B6583F" w:rsidRPr="0096500D" w:rsidRDefault="00B6583F" w:rsidP="00E453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预期指标值</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实际完成指标值</w:t>
            </w:r>
          </w:p>
        </w:tc>
      </w:tr>
      <w:tr w:rsidR="00B6583F" w:rsidTr="00E45355">
        <w:trPr>
          <w:gridAfter w:val="1"/>
          <w:wAfter w:w="116" w:type="pct"/>
          <w:trHeight w:val="480"/>
        </w:trPr>
        <w:tc>
          <w:tcPr>
            <w:tcW w:w="1025" w:type="pct"/>
            <w:vMerge/>
            <w:tcBorders>
              <w:left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仿宋_GB2312" w:hAnsi="仿宋_GB2312" w:cs="仿宋_GB2312"/>
                <w:color w:val="000000"/>
                <w:sz w:val="20"/>
                <w:szCs w:val="20"/>
              </w:rPr>
            </w:pPr>
          </w:p>
        </w:tc>
        <w:tc>
          <w:tcPr>
            <w:tcW w:w="593" w:type="pct"/>
            <w:vMerge w:val="restart"/>
            <w:tcBorders>
              <w:top w:val="single" w:sz="4" w:space="0" w:color="000000"/>
              <w:left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完成</w:t>
            </w:r>
          </w:p>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指标</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新增功能模块数量</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3</w:t>
            </w:r>
            <w:r w:rsidRPr="0096500D">
              <w:rPr>
                <w:rFonts w:ascii="仿宋_GB2312" w:hAnsi="仿宋_GB2312" w:cs="仿宋_GB2312" w:hint="eastAsia"/>
                <w:color w:val="000000"/>
                <w:sz w:val="20"/>
                <w:szCs w:val="20"/>
              </w:rPr>
              <w:t>个</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3</w:t>
            </w:r>
            <w:r w:rsidRPr="0096500D">
              <w:rPr>
                <w:rFonts w:ascii="仿宋_GB2312" w:hAnsi="仿宋_GB2312" w:cs="仿宋_GB2312" w:hint="eastAsia"/>
                <w:color w:val="000000"/>
                <w:sz w:val="20"/>
                <w:szCs w:val="20"/>
              </w:rPr>
              <w:t>个</w:t>
            </w:r>
          </w:p>
        </w:tc>
      </w:tr>
      <w:tr w:rsidR="00B6583F" w:rsidTr="00E45355">
        <w:trPr>
          <w:gridAfter w:val="1"/>
          <w:wAfter w:w="116" w:type="pct"/>
          <w:trHeight w:val="480"/>
        </w:trPr>
        <w:tc>
          <w:tcPr>
            <w:tcW w:w="1025" w:type="pct"/>
            <w:vMerge/>
            <w:tcBorders>
              <w:left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仿宋_GB2312" w:hAnsi="仿宋_GB2312" w:cs="仿宋_GB2312"/>
                <w:color w:val="000000"/>
                <w:sz w:val="20"/>
                <w:szCs w:val="20"/>
              </w:rPr>
            </w:pPr>
          </w:p>
        </w:tc>
        <w:tc>
          <w:tcPr>
            <w:tcW w:w="593" w:type="pct"/>
            <w:vMerge/>
            <w:tcBorders>
              <w:left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新增平台管理内容数量</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w:t>
            </w:r>
            <w:r w:rsidRPr="0096500D">
              <w:rPr>
                <w:rFonts w:ascii="仿宋_GB2312" w:hAnsi="仿宋_GB2312" w:cs="仿宋_GB2312" w:hint="eastAsia"/>
                <w:color w:val="000000"/>
                <w:sz w:val="20"/>
                <w:szCs w:val="20"/>
              </w:rPr>
              <w:t>个</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w:t>
            </w:r>
            <w:r w:rsidRPr="0096500D">
              <w:rPr>
                <w:rFonts w:ascii="仿宋_GB2312" w:hAnsi="仿宋_GB2312" w:cs="仿宋_GB2312" w:hint="eastAsia"/>
                <w:color w:val="000000"/>
                <w:sz w:val="20"/>
                <w:szCs w:val="20"/>
              </w:rPr>
              <w:t>个</w:t>
            </w:r>
          </w:p>
        </w:tc>
      </w:tr>
      <w:tr w:rsidR="00B6583F" w:rsidTr="00E45355">
        <w:trPr>
          <w:gridAfter w:val="1"/>
          <w:wAfter w:w="116" w:type="pct"/>
          <w:trHeight w:val="480"/>
        </w:trPr>
        <w:tc>
          <w:tcPr>
            <w:tcW w:w="1025" w:type="pct"/>
            <w:vMerge/>
            <w:tcBorders>
              <w:left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仿宋_GB2312" w:hAnsi="仿宋_GB2312" w:cs="仿宋_GB2312"/>
                <w:color w:val="000000"/>
                <w:sz w:val="20"/>
                <w:szCs w:val="20"/>
              </w:rPr>
            </w:pPr>
          </w:p>
        </w:tc>
        <w:tc>
          <w:tcPr>
            <w:tcW w:w="593" w:type="pct"/>
            <w:vMerge/>
            <w:tcBorders>
              <w:left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对接平台数量</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3</w:t>
            </w:r>
            <w:r w:rsidRPr="0096500D">
              <w:rPr>
                <w:rFonts w:ascii="仿宋_GB2312" w:hAnsi="仿宋_GB2312" w:cs="仿宋_GB2312" w:hint="eastAsia"/>
                <w:color w:val="000000"/>
                <w:sz w:val="20"/>
                <w:szCs w:val="20"/>
              </w:rPr>
              <w:t>个</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3</w:t>
            </w:r>
            <w:r w:rsidRPr="0096500D">
              <w:rPr>
                <w:rFonts w:ascii="仿宋_GB2312" w:hAnsi="仿宋_GB2312" w:cs="仿宋_GB2312" w:hint="eastAsia"/>
                <w:color w:val="000000"/>
                <w:sz w:val="20"/>
                <w:szCs w:val="20"/>
              </w:rPr>
              <w:t>个</w:t>
            </w:r>
          </w:p>
        </w:tc>
      </w:tr>
      <w:tr w:rsidR="00B6583F" w:rsidTr="00E45355">
        <w:trPr>
          <w:gridAfter w:val="1"/>
          <w:wAfter w:w="116" w:type="pct"/>
          <w:trHeight w:val="480"/>
        </w:trPr>
        <w:tc>
          <w:tcPr>
            <w:tcW w:w="1025" w:type="pct"/>
            <w:vMerge/>
            <w:tcBorders>
              <w:left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仿宋_GB2312" w:hAnsi="仿宋_GB2312" w:cs="仿宋_GB2312"/>
                <w:color w:val="000000"/>
                <w:sz w:val="20"/>
                <w:szCs w:val="20"/>
              </w:rPr>
            </w:pPr>
          </w:p>
        </w:tc>
        <w:tc>
          <w:tcPr>
            <w:tcW w:w="593" w:type="pct"/>
            <w:vMerge/>
            <w:tcBorders>
              <w:left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质量指标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各系统正常运行率</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96%</w:t>
            </w:r>
            <w:r w:rsidRPr="0096500D">
              <w:rPr>
                <w:rFonts w:ascii="仿宋_GB2312" w:hAnsi="仿宋_GB2312" w:cs="仿宋_GB2312" w:hint="eastAsia"/>
                <w:color w:val="000000"/>
                <w:sz w:val="20"/>
                <w:szCs w:val="20"/>
              </w:rPr>
              <w:t>以上</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100%</w:t>
            </w:r>
          </w:p>
        </w:tc>
      </w:tr>
      <w:tr w:rsidR="00B6583F" w:rsidTr="00E45355">
        <w:trPr>
          <w:gridAfter w:val="1"/>
          <w:wAfter w:w="116" w:type="pct"/>
          <w:trHeight w:val="480"/>
        </w:trPr>
        <w:tc>
          <w:tcPr>
            <w:tcW w:w="1025" w:type="pct"/>
            <w:vMerge/>
            <w:tcBorders>
              <w:left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仿宋_GB2312" w:hAnsi="仿宋_GB2312" w:cs="仿宋_GB2312"/>
                <w:color w:val="000000"/>
                <w:sz w:val="20"/>
                <w:szCs w:val="20"/>
              </w:rPr>
            </w:pPr>
          </w:p>
        </w:tc>
        <w:tc>
          <w:tcPr>
            <w:tcW w:w="593" w:type="pct"/>
            <w:tcBorders>
              <w:left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DA67FD">
              <w:rPr>
                <w:rFonts w:ascii="仿宋_GB2312" w:hAnsi="仿宋_GB2312" w:cs="仿宋_GB2312" w:hint="eastAsia"/>
                <w:color w:val="000000"/>
                <w:sz w:val="20"/>
                <w:szCs w:val="20"/>
              </w:rPr>
              <w:t>时效指标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DA67FD">
              <w:rPr>
                <w:rFonts w:ascii="仿宋_GB2312" w:hAnsi="仿宋_GB2312" w:cs="仿宋_GB2312" w:hint="eastAsia"/>
                <w:color w:val="000000"/>
                <w:sz w:val="20"/>
                <w:szCs w:val="20"/>
              </w:rPr>
              <w:t>项目完成时限</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DA67FD">
              <w:rPr>
                <w:rFonts w:ascii="仿宋_GB2312" w:hAnsi="仿宋_GB2312" w:cs="仿宋_GB2312" w:hint="eastAsia"/>
                <w:color w:val="000000"/>
                <w:sz w:val="20"/>
                <w:szCs w:val="20"/>
              </w:rPr>
              <w:t>2021</w:t>
            </w:r>
            <w:r w:rsidRPr="00DA67FD">
              <w:rPr>
                <w:rFonts w:ascii="仿宋_GB2312" w:hAnsi="仿宋_GB2312" w:cs="仿宋_GB2312" w:hint="eastAsia"/>
                <w:color w:val="000000"/>
                <w:sz w:val="20"/>
                <w:szCs w:val="20"/>
              </w:rPr>
              <w:t>年</w:t>
            </w:r>
            <w:r w:rsidRPr="00DA67FD">
              <w:rPr>
                <w:rFonts w:ascii="仿宋_GB2312" w:hAnsi="仿宋_GB2312" w:cs="仿宋_GB2312" w:hint="eastAsia"/>
                <w:color w:val="000000"/>
                <w:sz w:val="20"/>
                <w:szCs w:val="20"/>
              </w:rPr>
              <w:t>12</w:t>
            </w:r>
            <w:r w:rsidRPr="00DA67FD">
              <w:rPr>
                <w:rFonts w:ascii="仿宋_GB2312" w:hAnsi="仿宋_GB2312" w:cs="仿宋_GB2312" w:hint="eastAsia"/>
                <w:color w:val="000000"/>
                <w:sz w:val="20"/>
                <w:szCs w:val="20"/>
              </w:rPr>
              <w:t>月</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2022</w:t>
            </w:r>
            <w:r>
              <w:rPr>
                <w:rFonts w:ascii="仿宋_GB2312" w:hAnsi="仿宋_GB2312" w:cs="仿宋_GB2312" w:hint="eastAsia"/>
                <w:color w:val="000000"/>
                <w:sz w:val="20"/>
                <w:szCs w:val="20"/>
              </w:rPr>
              <w:t>年</w:t>
            </w:r>
            <w:r>
              <w:rPr>
                <w:rFonts w:ascii="仿宋_GB2312" w:hAnsi="仿宋_GB2312" w:cs="仿宋_GB2312" w:hint="eastAsia"/>
                <w:color w:val="000000"/>
                <w:sz w:val="20"/>
                <w:szCs w:val="20"/>
              </w:rPr>
              <w:t>8</w:t>
            </w:r>
            <w:r>
              <w:rPr>
                <w:rFonts w:ascii="仿宋_GB2312" w:hAnsi="仿宋_GB2312" w:cs="仿宋_GB2312" w:hint="eastAsia"/>
                <w:color w:val="000000"/>
                <w:sz w:val="20"/>
                <w:szCs w:val="20"/>
              </w:rPr>
              <w:t>月</w:t>
            </w:r>
          </w:p>
        </w:tc>
      </w:tr>
      <w:tr w:rsidR="00B6583F" w:rsidTr="00E45355">
        <w:trPr>
          <w:gridAfter w:val="1"/>
          <w:wAfter w:w="116" w:type="pct"/>
          <w:trHeight w:val="480"/>
        </w:trPr>
        <w:tc>
          <w:tcPr>
            <w:tcW w:w="1025" w:type="pct"/>
            <w:vMerge/>
            <w:tcBorders>
              <w:left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仿宋_GB2312" w:hAnsi="仿宋_GB2312" w:cs="仿宋_GB2312"/>
                <w:color w:val="000000"/>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社会效益指标</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社会效益指标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保障涉案财物得到妥善管理、公开透明处置</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保障涉案财物得到妥善管理、公开透明</w:t>
            </w:r>
            <w:r w:rsidRPr="0096500D">
              <w:rPr>
                <w:rFonts w:ascii="仿宋_GB2312" w:hAnsi="仿宋_GB2312" w:cs="仿宋_GB2312" w:hint="eastAsia"/>
                <w:color w:val="000000"/>
                <w:sz w:val="20"/>
                <w:szCs w:val="20"/>
              </w:rPr>
              <w:lastRenderedPageBreak/>
              <w:t>处置</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lastRenderedPageBreak/>
              <w:t>涉案财物得到妥善管理、公开透明处置</w:t>
            </w:r>
          </w:p>
        </w:tc>
      </w:tr>
      <w:tr w:rsidR="00B6583F" w:rsidTr="00E45355">
        <w:trPr>
          <w:gridAfter w:val="1"/>
          <w:wAfter w:w="116" w:type="pct"/>
          <w:trHeight w:val="480"/>
        </w:trPr>
        <w:tc>
          <w:tcPr>
            <w:tcW w:w="1025" w:type="pct"/>
            <w:vMerge/>
            <w:tcBorders>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仿宋_GB2312" w:hAnsi="仿宋_GB2312" w:cs="仿宋_GB2312"/>
                <w:color w:val="000000"/>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proofErr w:type="gramStart"/>
            <w:r w:rsidRPr="0096500D">
              <w:rPr>
                <w:rFonts w:ascii="仿宋_GB2312" w:hAnsi="仿宋_GB2312" w:cs="仿宋_GB2312" w:hint="eastAsia"/>
                <w:color w:val="000000"/>
                <w:sz w:val="20"/>
                <w:szCs w:val="20"/>
              </w:rPr>
              <w:t>满意</w:t>
            </w:r>
            <w:proofErr w:type="gramEnd"/>
            <w:r w:rsidRPr="0096500D">
              <w:rPr>
                <w:rFonts w:ascii="仿宋_GB2312" w:hAnsi="仿宋_GB2312" w:cs="仿宋_GB2312" w:hint="eastAsia"/>
                <w:color w:val="000000"/>
                <w:sz w:val="20"/>
                <w:szCs w:val="20"/>
              </w:rPr>
              <w:br/>
            </w:r>
            <w:r w:rsidRPr="0096500D">
              <w:rPr>
                <w:rFonts w:ascii="仿宋_GB2312" w:hAnsi="仿宋_GB2312" w:cs="仿宋_GB2312" w:hint="eastAsia"/>
                <w:color w:val="000000"/>
                <w:sz w:val="20"/>
                <w:szCs w:val="20"/>
              </w:rPr>
              <w:t>度指标</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满意度</w:t>
            </w:r>
          </w:p>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服务对象满意度</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98%</w:t>
            </w:r>
            <w:r w:rsidRPr="0096500D">
              <w:rPr>
                <w:rFonts w:ascii="仿宋_GB2312" w:hAnsi="仿宋_GB2312" w:cs="仿宋_GB2312" w:hint="eastAsia"/>
                <w:color w:val="000000"/>
                <w:sz w:val="20"/>
                <w:szCs w:val="20"/>
              </w:rPr>
              <w:t>以上</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100%</w:t>
            </w:r>
          </w:p>
        </w:tc>
      </w:tr>
    </w:tbl>
    <w:p w:rsidR="00B6583F" w:rsidRDefault="00B6583F" w:rsidP="00B6583F"/>
    <w:p w:rsidR="00B6583F" w:rsidRDefault="00B6583F" w:rsidP="00B6583F"/>
    <w:p w:rsidR="00B6583F" w:rsidRDefault="00B6583F" w:rsidP="00B6583F"/>
    <w:p w:rsidR="00B6583F" w:rsidRPr="000F119A" w:rsidRDefault="00B6583F" w:rsidP="00B6583F">
      <w:pPr>
        <w:pStyle w:val="a0"/>
        <w:spacing w:before="93"/>
      </w:pPr>
    </w:p>
    <w:tbl>
      <w:tblPr>
        <w:tblpPr w:leftFromText="180" w:rightFromText="180" w:vertAnchor="text" w:horzAnchor="page" w:tblpX="1256" w:tblpY="221"/>
        <w:tblOverlap w:val="never"/>
        <w:tblW w:w="5816" w:type="pct"/>
        <w:tblLook w:val="04A0"/>
      </w:tblPr>
      <w:tblGrid>
        <w:gridCol w:w="1982"/>
        <w:gridCol w:w="1149"/>
        <w:gridCol w:w="1325"/>
        <w:gridCol w:w="310"/>
        <w:gridCol w:w="1761"/>
        <w:gridCol w:w="1227"/>
        <w:gridCol w:w="93"/>
        <w:gridCol w:w="1844"/>
        <w:gridCol w:w="222"/>
      </w:tblGrid>
      <w:tr w:rsidR="00061FA4" w:rsidTr="00061FA4">
        <w:trPr>
          <w:trHeight w:val="675"/>
        </w:trPr>
        <w:tc>
          <w:tcPr>
            <w:tcW w:w="4888" w:type="pct"/>
            <w:gridSpan w:val="8"/>
            <w:tcBorders>
              <w:top w:val="nil"/>
              <w:left w:val="nil"/>
              <w:bottom w:val="nil"/>
              <w:right w:val="nil"/>
            </w:tcBorders>
            <w:shd w:val="clear" w:color="auto" w:fill="auto"/>
            <w:vAlign w:val="center"/>
          </w:tcPr>
          <w:p w:rsidR="00061FA4" w:rsidRDefault="00061FA4" w:rsidP="00061FA4">
            <w:pPr>
              <w:widowControl/>
              <w:jc w:val="center"/>
              <w:textAlignment w:val="center"/>
              <w:rPr>
                <w:rFonts w:ascii="宋体" w:hAnsi="宋体" w:cs="宋体"/>
                <w:b/>
                <w:color w:val="000000"/>
                <w:sz w:val="32"/>
                <w:szCs w:val="32"/>
              </w:rPr>
            </w:pPr>
            <w:r w:rsidRPr="00AA5F92">
              <w:rPr>
                <w:rFonts w:ascii="宋体" w:hAnsi="宋体" w:cs="宋体" w:hint="eastAsia"/>
                <w:b/>
                <w:color w:val="000000"/>
                <w:sz w:val="32"/>
                <w:szCs w:val="32"/>
              </w:rPr>
              <w:t>2021年100万元以上（含）特定目标类部门预算项目绩效目标自评</w:t>
            </w:r>
          </w:p>
          <w:p w:rsidR="00061FA4" w:rsidRPr="00A97CC8" w:rsidRDefault="00061FA4" w:rsidP="00061FA4">
            <w:pPr>
              <w:widowControl/>
              <w:jc w:val="center"/>
              <w:textAlignment w:val="center"/>
            </w:pPr>
            <w:r w:rsidRPr="00A97CC8">
              <w:rPr>
                <w:rFonts w:ascii="宋体" w:hAnsi="宋体" w:cs="宋体" w:hint="eastAsia"/>
                <w:b/>
                <w:color w:val="000000"/>
                <w:sz w:val="32"/>
                <w:szCs w:val="32"/>
              </w:rPr>
              <w:t>（四川省政法大数据平台建设</w:t>
            </w:r>
            <w:r>
              <w:rPr>
                <w:rFonts w:ascii="宋体" w:hAnsi="宋体" w:cs="宋体" w:hint="eastAsia"/>
                <w:b/>
                <w:color w:val="000000"/>
                <w:sz w:val="32"/>
                <w:szCs w:val="32"/>
              </w:rPr>
              <w:t>项目</w:t>
            </w:r>
            <w:r w:rsidRPr="00A97CC8">
              <w:rPr>
                <w:rFonts w:ascii="宋体" w:hAnsi="宋体" w:cs="宋体" w:hint="eastAsia"/>
                <w:b/>
                <w:color w:val="000000"/>
                <w:sz w:val="32"/>
                <w:szCs w:val="32"/>
              </w:rPr>
              <w:t>）</w:t>
            </w:r>
          </w:p>
        </w:tc>
        <w:tc>
          <w:tcPr>
            <w:tcW w:w="112" w:type="pct"/>
            <w:tcBorders>
              <w:top w:val="nil"/>
              <w:left w:val="nil"/>
              <w:bottom w:val="nil"/>
              <w:right w:val="nil"/>
            </w:tcBorders>
            <w:shd w:val="clear" w:color="auto" w:fill="auto"/>
            <w:vAlign w:val="center"/>
          </w:tcPr>
          <w:p w:rsidR="00061FA4" w:rsidRDefault="00061FA4" w:rsidP="00061FA4">
            <w:pPr>
              <w:widowControl/>
              <w:jc w:val="center"/>
              <w:textAlignment w:val="center"/>
              <w:rPr>
                <w:rFonts w:ascii="宋体" w:hAnsi="宋体" w:cs="宋体"/>
                <w:b/>
                <w:color w:val="000000"/>
                <w:kern w:val="0"/>
                <w:szCs w:val="32"/>
              </w:rPr>
            </w:pPr>
          </w:p>
        </w:tc>
      </w:tr>
      <w:tr w:rsidR="00B6583F" w:rsidTr="00061FA4">
        <w:trPr>
          <w:gridAfter w:val="1"/>
          <w:wAfter w:w="112" w:type="pct"/>
          <w:trHeight w:val="254"/>
        </w:trPr>
        <w:tc>
          <w:tcPr>
            <w:tcW w:w="15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主管部门及代码</w:t>
            </w:r>
          </w:p>
        </w:tc>
        <w:tc>
          <w:tcPr>
            <w:tcW w:w="17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A95CA1">
            <w:pPr>
              <w:widowControl/>
              <w:spacing w:line="320" w:lineRule="exact"/>
              <w:textAlignment w:val="center"/>
              <w:rPr>
                <w:rFonts w:ascii="宋体" w:hAnsi="宋体" w:cs="宋体"/>
                <w:color w:val="000000"/>
                <w:sz w:val="20"/>
                <w:szCs w:val="20"/>
              </w:rPr>
            </w:pPr>
            <w:r w:rsidRPr="0096500D">
              <w:rPr>
                <w:rFonts w:ascii="宋体" w:hAnsi="宋体" w:cs="宋体" w:hint="eastAsia"/>
                <w:color w:val="000000"/>
                <w:sz w:val="20"/>
                <w:szCs w:val="20"/>
              </w:rPr>
              <w:t>203301</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实施单位</w:t>
            </w:r>
          </w:p>
        </w:tc>
        <w:tc>
          <w:tcPr>
            <w:tcW w:w="9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sz w:val="20"/>
                <w:szCs w:val="20"/>
              </w:rPr>
              <w:t>中共四川省委政法委员会</w:t>
            </w:r>
          </w:p>
        </w:tc>
      </w:tr>
      <w:tr w:rsidR="00B6583F" w:rsidTr="00061FA4">
        <w:trPr>
          <w:gridAfter w:val="1"/>
          <w:wAfter w:w="112" w:type="pct"/>
          <w:trHeight w:val="341"/>
        </w:trPr>
        <w:tc>
          <w:tcPr>
            <w:tcW w:w="15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项目预算</w:t>
            </w:r>
            <w:r w:rsidRPr="0096500D">
              <w:rPr>
                <w:rFonts w:ascii="宋体" w:hAnsi="宋体" w:cs="宋体" w:hint="eastAsia"/>
                <w:color w:val="000000"/>
                <w:kern w:val="0"/>
                <w:sz w:val="20"/>
                <w:szCs w:val="20"/>
              </w:rPr>
              <w:br/>
              <w:t>执行情况</w:t>
            </w:r>
            <w:r w:rsidRPr="0096500D">
              <w:rPr>
                <w:rFonts w:ascii="宋体" w:hAnsi="宋体" w:cs="宋体" w:hint="eastAsia"/>
                <w:color w:val="000000"/>
                <w:kern w:val="0"/>
                <w:sz w:val="20"/>
                <w:szCs w:val="20"/>
              </w:rPr>
              <w:br/>
              <w:t>（万元）</w:t>
            </w:r>
          </w:p>
        </w:tc>
        <w:tc>
          <w:tcPr>
            <w:tcW w:w="8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 xml:space="preserve"> 预算数：</w:t>
            </w:r>
          </w:p>
        </w:tc>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sz w:val="20"/>
                <w:szCs w:val="20"/>
              </w:rPr>
              <w:t>4906</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 xml:space="preserve"> 执行数：</w:t>
            </w:r>
          </w:p>
        </w:tc>
        <w:tc>
          <w:tcPr>
            <w:tcW w:w="9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right"/>
              <w:textAlignment w:val="center"/>
              <w:rPr>
                <w:rFonts w:ascii="宋体" w:hAnsi="宋体" w:cs="宋体"/>
                <w:color w:val="000000"/>
                <w:sz w:val="20"/>
                <w:szCs w:val="20"/>
              </w:rPr>
            </w:pPr>
            <w:r w:rsidRPr="0096500D">
              <w:rPr>
                <w:rFonts w:ascii="宋体" w:hAnsi="宋体" w:cs="宋体" w:hint="eastAsia"/>
                <w:color w:val="000000"/>
                <w:sz w:val="20"/>
                <w:szCs w:val="20"/>
              </w:rPr>
              <w:t>3422.35</w:t>
            </w:r>
          </w:p>
        </w:tc>
      </w:tr>
      <w:tr w:rsidR="00B6583F" w:rsidTr="00061FA4">
        <w:trPr>
          <w:gridAfter w:val="1"/>
          <w:wAfter w:w="112" w:type="pct"/>
          <w:trHeight w:val="577"/>
        </w:trPr>
        <w:tc>
          <w:tcPr>
            <w:tcW w:w="15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宋体" w:hAnsi="宋体" w:cs="宋体"/>
                <w:color w:val="000000"/>
                <w:sz w:val="20"/>
                <w:szCs w:val="20"/>
              </w:rPr>
            </w:pPr>
          </w:p>
        </w:tc>
        <w:tc>
          <w:tcPr>
            <w:tcW w:w="8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其中：</w:t>
            </w:r>
          </w:p>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财政拨款</w:t>
            </w:r>
          </w:p>
        </w:tc>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sz w:val="20"/>
                <w:szCs w:val="20"/>
              </w:rPr>
              <w:t>4906</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其中：</w:t>
            </w:r>
          </w:p>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财政拨款</w:t>
            </w:r>
          </w:p>
        </w:tc>
        <w:tc>
          <w:tcPr>
            <w:tcW w:w="9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right"/>
              <w:textAlignment w:val="center"/>
              <w:rPr>
                <w:rFonts w:ascii="宋体" w:hAnsi="宋体" w:cs="宋体"/>
                <w:color w:val="000000"/>
                <w:sz w:val="20"/>
                <w:szCs w:val="20"/>
              </w:rPr>
            </w:pPr>
            <w:r w:rsidRPr="0096500D">
              <w:rPr>
                <w:rFonts w:ascii="宋体" w:hAnsi="宋体" w:cs="宋体" w:hint="eastAsia"/>
                <w:color w:val="000000"/>
                <w:sz w:val="20"/>
                <w:szCs w:val="20"/>
              </w:rPr>
              <w:t>3422.35</w:t>
            </w:r>
          </w:p>
        </w:tc>
      </w:tr>
      <w:tr w:rsidR="00B6583F" w:rsidTr="00061FA4">
        <w:trPr>
          <w:gridAfter w:val="1"/>
          <w:wAfter w:w="112" w:type="pct"/>
          <w:trHeight w:val="341"/>
        </w:trPr>
        <w:tc>
          <w:tcPr>
            <w:tcW w:w="15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宋体" w:hAnsi="宋体" w:cs="宋体"/>
                <w:color w:val="000000"/>
                <w:sz w:val="20"/>
                <w:szCs w:val="20"/>
              </w:rPr>
            </w:pPr>
          </w:p>
        </w:tc>
        <w:tc>
          <w:tcPr>
            <w:tcW w:w="8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其他资金</w:t>
            </w:r>
          </w:p>
        </w:tc>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其他资金</w:t>
            </w:r>
          </w:p>
        </w:tc>
        <w:tc>
          <w:tcPr>
            <w:tcW w:w="9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p>
        </w:tc>
      </w:tr>
      <w:tr w:rsidR="00B6583F" w:rsidTr="00061FA4">
        <w:trPr>
          <w:gridAfter w:val="1"/>
          <w:wAfter w:w="112" w:type="pct"/>
          <w:trHeight w:val="217"/>
        </w:trPr>
        <w:tc>
          <w:tcPr>
            <w:tcW w:w="10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年度总体目标</w:t>
            </w:r>
          </w:p>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完成情况</w:t>
            </w:r>
          </w:p>
        </w:tc>
        <w:tc>
          <w:tcPr>
            <w:tcW w:w="22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预期目标</w:t>
            </w:r>
          </w:p>
        </w:tc>
        <w:tc>
          <w:tcPr>
            <w:tcW w:w="15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目标实际完成情况</w:t>
            </w:r>
          </w:p>
        </w:tc>
      </w:tr>
      <w:tr w:rsidR="00B6583F" w:rsidTr="00061FA4">
        <w:trPr>
          <w:gridAfter w:val="1"/>
          <w:wAfter w:w="112" w:type="pct"/>
          <w:trHeight w:val="1297"/>
        </w:trPr>
        <w:tc>
          <w:tcPr>
            <w:tcW w:w="10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宋体" w:hAnsi="宋体" w:cs="宋体"/>
                <w:color w:val="000000"/>
                <w:sz w:val="20"/>
                <w:szCs w:val="20"/>
              </w:rPr>
            </w:pPr>
          </w:p>
        </w:tc>
        <w:tc>
          <w:tcPr>
            <w:tcW w:w="2293" w:type="pct"/>
            <w:gridSpan w:val="4"/>
            <w:tcBorders>
              <w:top w:val="single" w:sz="4" w:space="0" w:color="000000"/>
              <w:left w:val="single" w:sz="4" w:space="0" w:color="000000"/>
              <w:bottom w:val="single" w:sz="4" w:space="0" w:color="000000"/>
              <w:right w:val="single" w:sz="4" w:space="0" w:color="000000"/>
            </w:tcBorders>
            <w:shd w:val="clear" w:color="auto" w:fill="auto"/>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具体包括以下四个方面内容：一是优化设施。包括优化提升政法专网；购买机房、计算、存储、安全和运维等基础设施服务；构建全方位安全防护体系；统筹基础设施规范运维、优质保障。二是搭建平台。在政法专网和公安网上建设逻辑一体的政法大数据总平台，在政法委、法院、检察院、公安、司法和国安搭建与已有数据中心融合的六个数据分平台，定期或实时将共享共用数据从分平台汇聚到总平台，开展数据质量校验和共享。三是实战应用。运用政法大数据打造扁平化视频指挥系统、升级政法大数据智能辅助办案系统和刑事案件涉案财物管理系统，实现跨部门指挥调度、业务协同、智能流转。四是构建支撑。制定完善政法大数据平台的数据标准体系、安全保障体系、运行维护体系和标准制度体系，确保平台规范化建设和</w:t>
            </w:r>
            <w:proofErr w:type="gramStart"/>
            <w:r w:rsidRPr="0096500D">
              <w:rPr>
                <w:rFonts w:ascii="仿宋_GB2312" w:hAnsi="仿宋_GB2312" w:cs="仿宋_GB2312" w:hint="eastAsia"/>
                <w:color w:val="000000"/>
                <w:sz w:val="20"/>
                <w:szCs w:val="20"/>
              </w:rPr>
              <w:t>长效化</w:t>
            </w:r>
            <w:proofErr w:type="gramEnd"/>
            <w:r w:rsidRPr="0096500D">
              <w:rPr>
                <w:rFonts w:ascii="仿宋_GB2312" w:hAnsi="仿宋_GB2312" w:cs="仿宋_GB2312" w:hint="eastAsia"/>
                <w:color w:val="000000"/>
                <w:sz w:val="20"/>
                <w:szCs w:val="20"/>
              </w:rPr>
              <w:t>运行。</w:t>
            </w:r>
          </w:p>
        </w:tc>
        <w:tc>
          <w:tcPr>
            <w:tcW w:w="1595" w:type="pct"/>
            <w:gridSpan w:val="3"/>
            <w:tcBorders>
              <w:top w:val="single" w:sz="4" w:space="0" w:color="000000"/>
              <w:left w:val="single" w:sz="4" w:space="0" w:color="000000"/>
              <w:bottom w:val="single" w:sz="4" w:space="0" w:color="000000"/>
              <w:right w:val="single" w:sz="4" w:space="0" w:color="000000"/>
            </w:tcBorders>
            <w:shd w:val="clear" w:color="auto" w:fill="auto"/>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2021</w:t>
            </w:r>
            <w:r w:rsidRPr="0096500D">
              <w:rPr>
                <w:rFonts w:ascii="仿宋_GB2312" w:hAnsi="仿宋_GB2312" w:cs="仿宋_GB2312" w:hint="eastAsia"/>
                <w:color w:val="000000"/>
                <w:sz w:val="20"/>
                <w:szCs w:val="20"/>
              </w:rPr>
              <w:t>年完成项目政府采购公开招标，由中国联通数字科技有限公司以</w:t>
            </w:r>
            <w:r w:rsidRPr="0096500D">
              <w:rPr>
                <w:rFonts w:ascii="仿宋_GB2312" w:hAnsi="仿宋_GB2312" w:cs="仿宋_GB2312" w:hint="eastAsia"/>
                <w:color w:val="000000"/>
                <w:sz w:val="20"/>
                <w:szCs w:val="20"/>
              </w:rPr>
              <w:t>7880</w:t>
            </w:r>
            <w:r w:rsidRPr="0096500D">
              <w:rPr>
                <w:rFonts w:ascii="仿宋_GB2312" w:hAnsi="仿宋_GB2312" w:cs="仿宋_GB2312" w:hint="eastAsia"/>
                <w:color w:val="000000"/>
                <w:sz w:val="20"/>
                <w:szCs w:val="20"/>
              </w:rPr>
              <w:t>万元价格中标项目工程建设，目前项目执行进度</w:t>
            </w:r>
            <w:r w:rsidRPr="0096500D">
              <w:rPr>
                <w:rFonts w:ascii="仿宋_GB2312" w:hAnsi="仿宋_GB2312" w:cs="仿宋_GB2312" w:hint="eastAsia"/>
                <w:color w:val="000000"/>
                <w:sz w:val="20"/>
                <w:szCs w:val="20"/>
              </w:rPr>
              <w:t>69.76%</w:t>
            </w:r>
            <w:r w:rsidRPr="0096500D">
              <w:rPr>
                <w:rFonts w:ascii="仿宋_GB2312" w:hAnsi="仿宋_GB2312" w:cs="仿宋_GB2312" w:hint="eastAsia"/>
                <w:color w:val="000000"/>
                <w:sz w:val="20"/>
                <w:szCs w:val="20"/>
              </w:rPr>
              <w:t>，已完成设备</w:t>
            </w:r>
            <w:r w:rsidRPr="0096500D">
              <w:rPr>
                <w:rFonts w:ascii="仿宋_GB2312" w:hAnsi="仿宋_GB2312" w:cs="仿宋_GB2312" w:hint="eastAsia"/>
                <w:color w:val="000000"/>
                <w:sz w:val="20"/>
                <w:szCs w:val="20"/>
              </w:rPr>
              <w:t>379</w:t>
            </w:r>
            <w:r w:rsidRPr="0096500D">
              <w:rPr>
                <w:rFonts w:ascii="仿宋_GB2312" w:hAnsi="仿宋_GB2312" w:cs="仿宋_GB2312" w:hint="eastAsia"/>
                <w:color w:val="000000"/>
                <w:sz w:val="20"/>
                <w:szCs w:val="20"/>
              </w:rPr>
              <w:t>台（套）购置和机房改造，跨部门办案平台</w:t>
            </w:r>
            <w:proofErr w:type="gramStart"/>
            <w:r w:rsidRPr="0096500D">
              <w:rPr>
                <w:rFonts w:ascii="仿宋_GB2312" w:hAnsi="仿宋_GB2312" w:cs="仿宋_GB2312" w:hint="eastAsia"/>
                <w:color w:val="000000"/>
                <w:sz w:val="20"/>
                <w:szCs w:val="20"/>
              </w:rPr>
              <w:t>已全省</w:t>
            </w:r>
            <w:proofErr w:type="gramEnd"/>
            <w:r w:rsidRPr="0096500D">
              <w:rPr>
                <w:rFonts w:ascii="仿宋_GB2312" w:hAnsi="仿宋_GB2312" w:cs="仿宋_GB2312" w:hint="eastAsia"/>
                <w:color w:val="000000"/>
                <w:sz w:val="20"/>
                <w:szCs w:val="20"/>
              </w:rPr>
              <w:t>上线，其余配套系统建设进度在</w:t>
            </w:r>
            <w:r w:rsidRPr="0096500D">
              <w:rPr>
                <w:rFonts w:ascii="仿宋_GB2312" w:hAnsi="仿宋_GB2312" w:cs="仿宋_GB2312" w:hint="eastAsia"/>
                <w:color w:val="000000"/>
                <w:sz w:val="20"/>
                <w:szCs w:val="20"/>
              </w:rPr>
              <w:t>30%-7</w:t>
            </w:r>
            <w:r w:rsidRPr="0096500D">
              <w:rPr>
                <w:rFonts w:ascii="仿宋_GB2312" w:hAnsi="仿宋_GB2312" w:cs="仿宋_GB2312"/>
                <w:color w:val="000000"/>
                <w:sz w:val="20"/>
                <w:szCs w:val="20"/>
              </w:rPr>
              <w:t>0%</w:t>
            </w:r>
            <w:r w:rsidRPr="0096500D">
              <w:rPr>
                <w:rFonts w:ascii="仿宋_GB2312" w:hAnsi="仿宋_GB2312" w:cs="仿宋_GB2312" w:hint="eastAsia"/>
                <w:color w:val="000000"/>
                <w:sz w:val="20"/>
                <w:szCs w:val="20"/>
              </w:rPr>
              <w:t>之间，按合同约定</w:t>
            </w:r>
            <w:r w:rsidRPr="0096500D">
              <w:rPr>
                <w:rFonts w:ascii="仿宋_GB2312" w:hAnsi="仿宋_GB2312" w:cs="仿宋_GB2312" w:hint="eastAsia"/>
                <w:color w:val="000000"/>
                <w:sz w:val="20"/>
                <w:szCs w:val="20"/>
              </w:rPr>
              <w:t>2021</w:t>
            </w:r>
            <w:r w:rsidRPr="0096500D">
              <w:rPr>
                <w:rFonts w:ascii="仿宋_GB2312" w:hAnsi="仿宋_GB2312" w:cs="仿宋_GB2312" w:hint="eastAsia"/>
                <w:color w:val="000000"/>
                <w:sz w:val="20"/>
                <w:szCs w:val="20"/>
              </w:rPr>
              <w:t>年仅能支付工程</w:t>
            </w:r>
            <w:proofErr w:type="gramStart"/>
            <w:r w:rsidRPr="0096500D">
              <w:rPr>
                <w:rFonts w:ascii="仿宋_GB2312" w:hAnsi="仿宋_GB2312" w:cs="仿宋_GB2312" w:hint="eastAsia"/>
                <w:color w:val="000000"/>
                <w:sz w:val="20"/>
                <w:szCs w:val="20"/>
              </w:rPr>
              <w:t>建设款首付款</w:t>
            </w:r>
            <w:proofErr w:type="gramEnd"/>
            <w:r w:rsidRPr="0096500D">
              <w:rPr>
                <w:rFonts w:ascii="仿宋_GB2312" w:hAnsi="仿宋_GB2312" w:cs="仿宋_GB2312" w:hint="eastAsia"/>
                <w:color w:val="000000"/>
                <w:sz w:val="20"/>
                <w:szCs w:val="20"/>
              </w:rPr>
              <w:t>3152</w:t>
            </w:r>
            <w:r w:rsidRPr="0096500D">
              <w:rPr>
                <w:rFonts w:ascii="仿宋_GB2312" w:hAnsi="仿宋_GB2312" w:cs="仿宋_GB2312" w:hint="eastAsia"/>
                <w:color w:val="000000"/>
                <w:sz w:val="20"/>
                <w:szCs w:val="20"/>
              </w:rPr>
              <w:t>万元和设计、监理等工程建设其他费用</w:t>
            </w:r>
            <w:r w:rsidRPr="0096500D">
              <w:rPr>
                <w:rFonts w:ascii="仿宋_GB2312" w:hAnsi="仿宋_GB2312" w:cs="仿宋_GB2312" w:hint="eastAsia"/>
                <w:color w:val="000000"/>
                <w:sz w:val="20"/>
                <w:szCs w:val="20"/>
              </w:rPr>
              <w:t>270.35</w:t>
            </w:r>
            <w:r w:rsidRPr="0096500D">
              <w:rPr>
                <w:rFonts w:ascii="仿宋_GB2312" w:hAnsi="仿宋_GB2312" w:cs="仿宋_GB2312" w:hint="eastAsia"/>
                <w:color w:val="000000"/>
                <w:sz w:val="20"/>
                <w:szCs w:val="20"/>
              </w:rPr>
              <w:t>万元，项目将于</w:t>
            </w:r>
            <w:r w:rsidRPr="0096500D">
              <w:rPr>
                <w:rFonts w:ascii="仿宋_GB2312" w:hAnsi="仿宋_GB2312" w:cs="仿宋_GB2312" w:hint="eastAsia"/>
                <w:color w:val="000000"/>
                <w:sz w:val="20"/>
                <w:szCs w:val="20"/>
              </w:rPr>
              <w:t>2022</w:t>
            </w:r>
            <w:r w:rsidRPr="0096500D">
              <w:rPr>
                <w:rFonts w:ascii="仿宋_GB2312" w:hAnsi="仿宋_GB2312" w:cs="仿宋_GB2312" w:hint="eastAsia"/>
                <w:color w:val="000000"/>
                <w:sz w:val="20"/>
                <w:szCs w:val="20"/>
              </w:rPr>
              <w:t>年</w:t>
            </w:r>
            <w:r w:rsidRPr="0096500D">
              <w:rPr>
                <w:rFonts w:ascii="仿宋_GB2312" w:hAnsi="仿宋_GB2312" w:cs="仿宋_GB2312" w:hint="eastAsia"/>
                <w:color w:val="000000"/>
                <w:sz w:val="20"/>
                <w:szCs w:val="20"/>
              </w:rPr>
              <w:t>12</w:t>
            </w:r>
            <w:r w:rsidRPr="0096500D">
              <w:rPr>
                <w:rFonts w:ascii="仿宋_GB2312" w:hAnsi="仿宋_GB2312" w:cs="仿宋_GB2312" w:hint="eastAsia"/>
                <w:color w:val="000000"/>
                <w:sz w:val="20"/>
                <w:szCs w:val="20"/>
              </w:rPr>
              <w:t>月前完成建设并完成剩余款项支付。</w:t>
            </w:r>
          </w:p>
        </w:tc>
      </w:tr>
      <w:tr w:rsidR="00B6583F" w:rsidTr="00061FA4">
        <w:trPr>
          <w:gridAfter w:val="1"/>
          <w:wAfter w:w="112" w:type="pct"/>
          <w:trHeight w:val="738"/>
        </w:trPr>
        <w:tc>
          <w:tcPr>
            <w:tcW w:w="1000" w:type="pct"/>
            <w:vMerge w:val="restart"/>
            <w:tcBorders>
              <w:top w:val="single" w:sz="4" w:space="0" w:color="000000"/>
              <w:left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年度绩效指标完成情况</w:t>
            </w:r>
          </w:p>
        </w:tc>
        <w:tc>
          <w:tcPr>
            <w:tcW w:w="580" w:type="pct"/>
            <w:tcBorders>
              <w:top w:val="single" w:sz="4" w:space="0" w:color="000000"/>
              <w:left w:val="nil"/>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一级</w:t>
            </w:r>
          </w:p>
          <w:p w:rsidR="00B6583F" w:rsidRPr="0096500D" w:rsidRDefault="00B6583F" w:rsidP="00E453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二级</w:t>
            </w:r>
          </w:p>
          <w:p w:rsidR="00B6583F" w:rsidRPr="0096500D" w:rsidRDefault="00B6583F" w:rsidP="00E453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10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三级</w:t>
            </w:r>
          </w:p>
          <w:p w:rsidR="00B6583F" w:rsidRPr="0096500D" w:rsidRDefault="00B6583F" w:rsidP="00E453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预期指标值</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实际完成指标值</w:t>
            </w:r>
          </w:p>
        </w:tc>
      </w:tr>
      <w:tr w:rsidR="00B6583F" w:rsidTr="00061FA4">
        <w:trPr>
          <w:gridAfter w:val="1"/>
          <w:wAfter w:w="112" w:type="pct"/>
          <w:trHeight w:val="480"/>
        </w:trPr>
        <w:tc>
          <w:tcPr>
            <w:tcW w:w="1000" w:type="pct"/>
            <w:vMerge/>
            <w:tcBorders>
              <w:left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仿宋_GB2312" w:hAnsi="仿宋_GB2312" w:cs="仿宋_GB2312"/>
                <w:color w:val="000000"/>
                <w:sz w:val="20"/>
                <w:szCs w:val="20"/>
              </w:rPr>
            </w:pPr>
          </w:p>
        </w:tc>
        <w:tc>
          <w:tcPr>
            <w:tcW w:w="580" w:type="pct"/>
            <w:vMerge w:val="restart"/>
            <w:tcBorders>
              <w:top w:val="single" w:sz="4" w:space="0" w:color="000000"/>
              <w:left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完成</w:t>
            </w:r>
          </w:p>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指标</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10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购置软硬件设备</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379</w:t>
            </w:r>
            <w:r w:rsidRPr="0096500D">
              <w:rPr>
                <w:rFonts w:ascii="仿宋_GB2312" w:hAnsi="仿宋_GB2312" w:cs="仿宋_GB2312" w:hint="eastAsia"/>
                <w:color w:val="000000"/>
                <w:sz w:val="20"/>
                <w:szCs w:val="20"/>
              </w:rPr>
              <w:t>台（套）</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379</w:t>
            </w:r>
            <w:r w:rsidRPr="0096500D">
              <w:rPr>
                <w:rFonts w:ascii="仿宋_GB2312" w:hAnsi="仿宋_GB2312" w:cs="仿宋_GB2312" w:hint="eastAsia"/>
                <w:color w:val="000000"/>
                <w:sz w:val="20"/>
                <w:szCs w:val="20"/>
              </w:rPr>
              <w:t>台（套）</w:t>
            </w:r>
          </w:p>
        </w:tc>
      </w:tr>
      <w:tr w:rsidR="00B6583F" w:rsidTr="00061FA4">
        <w:trPr>
          <w:gridAfter w:val="1"/>
          <w:wAfter w:w="112" w:type="pct"/>
          <w:trHeight w:val="480"/>
        </w:trPr>
        <w:tc>
          <w:tcPr>
            <w:tcW w:w="1000" w:type="pct"/>
            <w:vMerge/>
            <w:tcBorders>
              <w:left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仿宋_GB2312" w:hAnsi="仿宋_GB2312" w:cs="仿宋_GB2312"/>
                <w:color w:val="000000"/>
                <w:sz w:val="20"/>
                <w:szCs w:val="20"/>
              </w:rPr>
            </w:pPr>
          </w:p>
        </w:tc>
        <w:tc>
          <w:tcPr>
            <w:tcW w:w="580" w:type="pct"/>
            <w:vMerge/>
            <w:tcBorders>
              <w:left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10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四川省政法大数据平台包含数量</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8</w:t>
            </w:r>
            <w:r w:rsidRPr="0096500D">
              <w:rPr>
                <w:rFonts w:ascii="仿宋_GB2312" w:hAnsi="仿宋_GB2312" w:cs="仿宋_GB2312" w:hint="eastAsia"/>
                <w:color w:val="000000"/>
                <w:sz w:val="20"/>
                <w:szCs w:val="20"/>
              </w:rPr>
              <w:t>个</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8</w:t>
            </w:r>
            <w:r w:rsidRPr="0096500D">
              <w:rPr>
                <w:rFonts w:ascii="仿宋_GB2312" w:hAnsi="仿宋_GB2312" w:cs="仿宋_GB2312" w:hint="eastAsia"/>
                <w:color w:val="000000"/>
                <w:sz w:val="20"/>
                <w:szCs w:val="20"/>
              </w:rPr>
              <w:t>个</w:t>
            </w:r>
          </w:p>
        </w:tc>
      </w:tr>
      <w:tr w:rsidR="00B6583F" w:rsidTr="00061FA4">
        <w:trPr>
          <w:gridAfter w:val="1"/>
          <w:wAfter w:w="112" w:type="pct"/>
          <w:trHeight w:val="480"/>
        </w:trPr>
        <w:tc>
          <w:tcPr>
            <w:tcW w:w="1000" w:type="pct"/>
            <w:vMerge/>
            <w:tcBorders>
              <w:left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仿宋_GB2312" w:hAnsi="仿宋_GB2312" w:cs="仿宋_GB2312"/>
                <w:color w:val="000000"/>
                <w:sz w:val="20"/>
                <w:szCs w:val="20"/>
              </w:rPr>
            </w:pPr>
          </w:p>
        </w:tc>
        <w:tc>
          <w:tcPr>
            <w:tcW w:w="580" w:type="pct"/>
            <w:vMerge/>
            <w:tcBorders>
              <w:left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质量指标</w:t>
            </w:r>
          </w:p>
        </w:tc>
        <w:tc>
          <w:tcPr>
            <w:tcW w:w="10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各系统正常运行率</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99%</w:t>
            </w:r>
            <w:r w:rsidRPr="0096500D">
              <w:rPr>
                <w:rFonts w:ascii="仿宋_GB2312" w:hAnsi="仿宋_GB2312" w:cs="仿宋_GB2312" w:hint="eastAsia"/>
                <w:color w:val="000000"/>
                <w:sz w:val="20"/>
                <w:szCs w:val="20"/>
              </w:rPr>
              <w:t>以上</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100%</w:t>
            </w:r>
          </w:p>
        </w:tc>
      </w:tr>
      <w:tr w:rsidR="00B6583F" w:rsidTr="00061FA4">
        <w:trPr>
          <w:gridAfter w:val="1"/>
          <w:wAfter w:w="112" w:type="pct"/>
          <w:trHeight w:val="1434"/>
        </w:trPr>
        <w:tc>
          <w:tcPr>
            <w:tcW w:w="1000" w:type="pct"/>
            <w:vMerge/>
            <w:tcBorders>
              <w:left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仿宋_GB2312" w:hAnsi="仿宋_GB2312" w:cs="仿宋_GB2312"/>
                <w:color w:val="000000"/>
                <w:sz w:val="20"/>
                <w:szCs w:val="20"/>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经济效益指标</w:t>
            </w:r>
          </w:p>
        </w:tc>
        <w:tc>
          <w:tcPr>
            <w:tcW w:w="10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本项目不会产生直接经济收入，但基于本项目推动</w:t>
            </w:r>
            <w:proofErr w:type="gramStart"/>
            <w:r w:rsidRPr="0096500D">
              <w:rPr>
                <w:rFonts w:ascii="仿宋_GB2312" w:hAnsi="仿宋_GB2312" w:cs="仿宋_GB2312" w:hint="eastAsia"/>
                <w:color w:val="000000"/>
                <w:sz w:val="20"/>
                <w:szCs w:val="20"/>
              </w:rPr>
              <w:t>智慧政法</w:t>
            </w:r>
            <w:proofErr w:type="gramEnd"/>
            <w:r w:rsidRPr="0096500D">
              <w:rPr>
                <w:rFonts w:ascii="仿宋_GB2312" w:hAnsi="仿宋_GB2312" w:cs="仿宋_GB2312" w:hint="eastAsia"/>
                <w:color w:val="000000"/>
                <w:sz w:val="20"/>
                <w:szCs w:val="20"/>
              </w:rPr>
              <w:t>产业化发展，将带来间接经济效益。</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推动</w:t>
            </w:r>
            <w:proofErr w:type="gramStart"/>
            <w:r w:rsidRPr="0096500D">
              <w:rPr>
                <w:rFonts w:ascii="仿宋_GB2312" w:hAnsi="仿宋_GB2312" w:cs="仿宋_GB2312" w:hint="eastAsia"/>
                <w:color w:val="000000"/>
                <w:sz w:val="20"/>
                <w:szCs w:val="20"/>
              </w:rPr>
              <w:t>智慧政法</w:t>
            </w:r>
            <w:proofErr w:type="gramEnd"/>
            <w:r w:rsidRPr="0096500D">
              <w:rPr>
                <w:rFonts w:ascii="仿宋_GB2312" w:hAnsi="仿宋_GB2312" w:cs="仿宋_GB2312" w:hint="eastAsia"/>
                <w:color w:val="000000"/>
                <w:sz w:val="20"/>
                <w:szCs w:val="20"/>
              </w:rPr>
              <w:t>产业化发展，将带来间接经济效益。</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推动</w:t>
            </w:r>
            <w:proofErr w:type="gramStart"/>
            <w:r w:rsidRPr="0096500D">
              <w:rPr>
                <w:rFonts w:ascii="仿宋_GB2312" w:hAnsi="仿宋_GB2312" w:cs="仿宋_GB2312" w:hint="eastAsia"/>
                <w:color w:val="000000"/>
                <w:sz w:val="20"/>
                <w:szCs w:val="20"/>
              </w:rPr>
              <w:t>智慧政法</w:t>
            </w:r>
            <w:proofErr w:type="gramEnd"/>
            <w:r w:rsidRPr="0096500D">
              <w:rPr>
                <w:rFonts w:ascii="仿宋_GB2312" w:hAnsi="仿宋_GB2312" w:cs="仿宋_GB2312" w:hint="eastAsia"/>
                <w:color w:val="000000"/>
                <w:sz w:val="20"/>
                <w:szCs w:val="20"/>
              </w:rPr>
              <w:t>产业化发展，将带来间接经济效益。</w:t>
            </w:r>
          </w:p>
        </w:tc>
      </w:tr>
      <w:tr w:rsidR="00B6583F" w:rsidTr="00061FA4">
        <w:trPr>
          <w:gridAfter w:val="1"/>
          <w:wAfter w:w="112" w:type="pct"/>
          <w:trHeight w:val="480"/>
        </w:trPr>
        <w:tc>
          <w:tcPr>
            <w:tcW w:w="1000" w:type="pct"/>
            <w:vMerge/>
            <w:tcBorders>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spacing w:line="320" w:lineRule="exact"/>
              <w:jc w:val="center"/>
              <w:rPr>
                <w:rFonts w:ascii="仿宋_GB2312" w:hAnsi="仿宋_GB2312" w:cs="仿宋_GB2312"/>
                <w:color w:val="000000"/>
                <w:sz w:val="20"/>
                <w:szCs w:val="20"/>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proofErr w:type="gramStart"/>
            <w:r w:rsidRPr="0096500D">
              <w:rPr>
                <w:rFonts w:ascii="仿宋_GB2312" w:hAnsi="仿宋_GB2312" w:cs="仿宋_GB2312" w:hint="eastAsia"/>
                <w:color w:val="000000"/>
                <w:sz w:val="20"/>
                <w:szCs w:val="20"/>
              </w:rPr>
              <w:t>满意</w:t>
            </w:r>
            <w:proofErr w:type="gramEnd"/>
            <w:r w:rsidRPr="0096500D">
              <w:rPr>
                <w:rFonts w:ascii="仿宋_GB2312" w:hAnsi="仿宋_GB2312" w:cs="仿宋_GB2312" w:hint="eastAsia"/>
                <w:color w:val="000000"/>
                <w:sz w:val="20"/>
                <w:szCs w:val="20"/>
              </w:rPr>
              <w:br/>
            </w:r>
            <w:r w:rsidRPr="0096500D">
              <w:rPr>
                <w:rFonts w:ascii="仿宋_GB2312" w:hAnsi="仿宋_GB2312" w:cs="仿宋_GB2312" w:hint="eastAsia"/>
                <w:color w:val="000000"/>
                <w:sz w:val="20"/>
                <w:szCs w:val="20"/>
              </w:rPr>
              <w:t>度指标</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满意度</w:t>
            </w:r>
          </w:p>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指标</w:t>
            </w:r>
          </w:p>
        </w:tc>
        <w:tc>
          <w:tcPr>
            <w:tcW w:w="10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服务对象（各系统内部人员）满意度</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98%</w:t>
            </w:r>
            <w:r w:rsidRPr="0096500D">
              <w:rPr>
                <w:rFonts w:ascii="仿宋_GB2312" w:hAnsi="仿宋_GB2312" w:cs="仿宋_GB2312" w:hint="eastAsia"/>
                <w:color w:val="000000"/>
                <w:sz w:val="20"/>
                <w:szCs w:val="20"/>
              </w:rPr>
              <w:t>以上</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96500D" w:rsidRDefault="00B6583F" w:rsidP="00E453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98%</w:t>
            </w:r>
          </w:p>
        </w:tc>
      </w:tr>
    </w:tbl>
    <w:p w:rsidR="00B6583F" w:rsidRPr="000F119A" w:rsidRDefault="00B6583F" w:rsidP="00B6583F">
      <w:pPr>
        <w:pStyle w:val="a0"/>
        <w:spacing w:before="93"/>
      </w:pPr>
    </w:p>
    <w:tbl>
      <w:tblPr>
        <w:tblpPr w:leftFromText="180" w:rightFromText="180" w:vertAnchor="text" w:horzAnchor="page" w:tblpX="1256" w:tblpY="221"/>
        <w:tblOverlap w:val="never"/>
        <w:tblW w:w="5723" w:type="pct"/>
        <w:tblLook w:val="04A0"/>
      </w:tblPr>
      <w:tblGrid>
        <w:gridCol w:w="1940"/>
        <w:gridCol w:w="1125"/>
        <w:gridCol w:w="1133"/>
        <w:gridCol w:w="1496"/>
        <w:gridCol w:w="1163"/>
        <w:gridCol w:w="2675"/>
        <w:gridCol w:w="222"/>
      </w:tblGrid>
      <w:tr w:rsidR="00061FA4" w:rsidTr="00061FA4">
        <w:trPr>
          <w:trHeight w:val="675"/>
        </w:trPr>
        <w:tc>
          <w:tcPr>
            <w:tcW w:w="4886" w:type="pct"/>
            <w:gridSpan w:val="6"/>
            <w:tcBorders>
              <w:top w:val="nil"/>
              <w:left w:val="nil"/>
              <w:bottom w:val="nil"/>
              <w:right w:val="nil"/>
            </w:tcBorders>
            <w:shd w:val="clear" w:color="auto" w:fill="auto"/>
            <w:vAlign w:val="center"/>
          </w:tcPr>
          <w:p w:rsidR="00061FA4" w:rsidRDefault="00061FA4" w:rsidP="00061FA4">
            <w:pPr>
              <w:widowControl/>
              <w:jc w:val="center"/>
              <w:textAlignment w:val="center"/>
              <w:rPr>
                <w:rFonts w:ascii="宋体" w:hAnsi="宋体" w:cs="宋体"/>
                <w:b/>
                <w:color w:val="000000"/>
                <w:sz w:val="32"/>
                <w:szCs w:val="32"/>
              </w:rPr>
            </w:pPr>
            <w:r w:rsidRPr="00AA5F92">
              <w:rPr>
                <w:rFonts w:ascii="宋体" w:hAnsi="宋体" w:cs="宋体" w:hint="eastAsia"/>
                <w:b/>
                <w:color w:val="000000"/>
                <w:sz w:val="32"/>
                <w:szCs w:val="32"/>
              </w:rPr>
              <w:t>2021年100万元以上（含）特定目标类部门预算项目绩效目标自评</w:t>
            </w:r>
          </w:p>
          <w:p w:rsidR="00061FA4" w:rsidRPr="00A97CC8" w:rsidRDefault="00061FA4" w:rsidP="00061FA4">
            <w:pPr>
              <w:widowControl/>
              <w:jc w:val="center"/>
              <w:textAlignment w:val="center"/>
            </w:pPr>
            <w:r w:rsidRPr="00A97CC8">
              <w:rPr>
                <w:rFonts w:ascii="宋体" w:hAnsi="宋体" w:cs="宋体" w:hint="eastAsia"/>
                <w:b/>
                <w:color w:val="000000"/>
                <w:sz w:val="32"/>
                <w:szCs w:val="32"/>
              </w:rPr>
              <w:t>（四川政法先锋表彰奖励</w:t>
            </w:r>
            <w:r>
              <w:rPr>
                <w:rFonts w:ascii="宋体" w:hAnsi="宋体" w:cs="宋体" w:hint="eastAsia"/>
                <w:b/>
                <w:color w:val="000000"/>
                <w:sz w:val="32"/>
                <w:szCs w:val="32"/>
              </w:rPr>
              <w:t>项目</w:t>
            </w:r>
            <w:r w:rsidRPr="00A97CC8">
              <w:rPr>
                <w:rFonts w:ascii="宋体" w:hAnsi="宋体" w:cs="宋体" w:hint="eastAsia"/>
                <w:b/>
                <w:color w:val="000000"/>
                <w:sz w:val="32"/>
                <w:szCs w:val="32"/>
              </w:rPr>
              <w:t>）</w:t>
            </w:r>
          </w:p>
        </w:tc>
        <w:tc>
          <w:tcPr>
            <w:tcW w:w="114" w:type="pct"/>
            <w:tcBorders>
              <w:top w:val="nil"/>
              <w:left w:val="nil"/>
              <w:bottom w:val="nil"/>
              <w:right w:val="nil"/>
            </w:tcBorders>
            <w:shd w:val="clear" w:color="auto" w:fill="auto"/>
            <w:vAlign w:val="center"/>
          </w:tcPr>
          <w:p w:rsidR="00061FA4" w:rsidRDefault="00061FA4" w:rsidP="00061FA4">
            <w:pPr>
              <w:widowControl/>
              <w:jc w:val="center"/>
              <w:textAlignment w:val="center"/>
              <w:rPr>
                <w:rFonts w:ascii="宋体" w:hAnsi="宋体" w:cs="宋体"/>
                <w:b/>
                <w:color w:val="000000"/>
                <w:kern w:val="0"/>
                <w:szCs w:val="32"/>
              </w:rPr>
            </w:pPr>
          </w:p>
        </w:tc>
      </w:tr>
      <w:tr w:rsidR="00B6583F" w:rsidTr="00061FA4">
        <w:trPr>
          <w:gridAfter w:val="1"/>
          <w:wAfter w:w="114" w:type="pct"/>
          <w:trHeight w:val="254"/>
        </w:trPr>
        <w:tc>
          <w:tcPr>
            <w:tcW w:w="15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主管部门及代码</w:t>
            </w:r>
          </w:p>
        </w:tc>
        <w:tc>
          <w:tcPr>
            <w:tcW w:w="134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A95CA1">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203301</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实施单位</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中共四川省委政法委员会</w:t>
            </w:r>
          </w:p>
        </w:tc>
      </w:tr>
      <w:tr w:rsidR="00B6583F" w:rsidTr="00061FA4">
        <w:trPr>
          <w:gridAfter w:val="1"/>
          <w:wAfter w:w="114" w:type="pct"/>
          <w:trHeight w:val="341"/>
        </w:trPr>
        <w:tc>
          <w:tcPr>
            <w:tcW w:w="157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项目预算</w:t>
            </w:r>
            <w:r w:rsidRPr="002E7E7A">
              <w:rPr>
                <w:rFonts w:ascii="宋体" w:hAnsi="宋体" w:cs="宋体" w:hint="eastAsia"/>
                <w:color w:val="000000"/>
                <w:kern w:val="0"/>
                <w:sz w:val="20"/>
                <w:szCs w:val="20"/>
              </w:rPr>
              <w:br/>
              <w:t>执行情况</w:t>
            </w:r>
            <w:r w:rsidRPr="002E7E7A">
              <w:rPr>
                <w:rFonts w:ascii="宋体" w:hAnsi="宋体" w:cs="宋体" w:hint="eastAsia"/>
                <w:color w:val="000000"/>
                <w:kern w:val="0"/>
                <w:sz w:val="20"/>
                <w:szCs w:val="20"/>
              </w:rPr>
              <w:br/>
              <w:t>（万元）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 xml:space="preserve"> 预算数：</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color w:val="000000"/>
                <w:sz w:val="20"/>
                <w:szCs w:val="20"/>
              </w:rPr>
              <w:t>105</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 xml:space="preserve"> 执行数：</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right"/>
              <w:textAlignment w:val="center"/>
              <w:rPr>
                <w:rFonts w:ascii="宋体" w:hAnsi="宋体" w:cs="宋体"/>
                <w:color w:val="000000"/>
                <w:sz w:val="20"/>
                <w:szCs w:val="20"/>
              </w:rPr>
            </w:pPr>
            <w:r w:rsidRPr="002E7E7A">
              <w:rPr>
                <w:rFonts w:ascii="宋体" w:hAnsi="宋体" w:cs="宋体"/>
                <w:color w:val="000000"/>
                <w:sz w:val="20"/>
                <w:szCs w:val="20"/>
              </w:rPr>
              <w:t>105</w:t>
            </w:r>
          </w:p>
        </w:tc>
      </w:tr>
      <w:tr w:rsidR="00B6583F" w:rsidTr="00061FA4">
        <w:trPr>
          <w:gridAfter w:val="1"/>
          <w:wAfter w:w="114" w:type="pct"/>
          <w:trHeight w:val="577"/>
        </w:trPr>
        <w:tc>
          <w:tcPr>
            <w:tcW w:w="157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spacing w:line="320" w:lineRule="exact"/>
              <w:jc w:val="center"/>
              <w:rPr>
                <w:rFonts w:ascii="宋体" w:hAnsi="宋体" w:cs="宋体"/>
                <w:color w:val="000000"/>
                <w:sz w:val="20"/>
                <w:szCs w:val="20"/>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其中：</w:t>
            </w:r>
          </w:p>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财政拨款</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color w:val="000000"/>
                <w:sz w:val="20"/>
                <w:szCs w:val="20"/>
              </w:rPr>
              <w:t>105</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其中：</w:t>
            </w:r>
          </w:p>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财政拨款</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right"/>
              <w:textAlignment w:val="center"/>
              <w:rPr>
                <w:rFonts w:ascii="宋体" w:hAnsi="宋体" w:cs="宋体"/>
                <w:color w:val="000000"/>
                <w:sz w:val="20"/>
                <w:szCs w:val="20"/>
              </w:rPr>
            </w:pPr>
            <w:r w:rsidRPr="002E7E7A">
              <w:rPr>
                <w:rFonts w:ascii="宋体" w:hAnsi="宋体" w:cs="宋体"/>
                <w:color w:val="000000"/>
                <w:sz w:val="20"/>
                <w:szCs w:val="20"/>
              </w:rPr>
              <w:t>105</w:t>
            </w:r>
          </w:p>
        </w:tc>
      </w:tr>
      <w:tr w:rsidR="00B6583F" w:rsidTr="00061FA4">
        <w:trPr>
          <w:gridAfter w:val="1"/>
          <w:wAfter w:w="114" w:type="pct"/>
          <w:trHeight w:val="341"/>
        </w:trPr>
        <w:tc>
          <w:tcPr>
            <w:tcW w:w="157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spacing w:line="320" w:lineRule="exact"/>
              <w:jc w:val="center"/>
              <w:rPr>
                <w:rFonts w:ascii="宋体" w:hAnsi="宋体" w:cs="宋体"/>
                <w:color w:val="000000"/>
                <w:sz w:val="20"/>
                <w:szCs w:val="20"/>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其他资金</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其他资金</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p>
        </w:tc>
      </w:tr>
      <w:tr w:rsidR="00B6583F" w:rsidTr="00061FA4">
        <w:trPr>
          <w:gridAfter w:val="1"/>
          <w:wAfter w:w="114" w:type="pct"/>
          <w:trHeight w:val="217"/>
        </w:trPr>
        <w:tc>
          <w:tcPr>
            <w:tcW w:w="9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年度总体目标</w:t>
            </w:r>
          </w:p>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完成情况</w:t>
            </w:r>
          </w:p>
        </w:tc>
        <w:tc>
          <w:tcPr>
            <w:tcW w:w="192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预期目标</w:t>
            </w:r>
          </w:p>
        </w:tc>
        <w:tc>
          <w:tcPr>
            <w:tcW w:w="19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目标实际完成情况</w:t>
            </w:r>
          </w:p>
        </w:tc>
      </w:tr>
      <w:tr w:rsidR="00B6583F" w:rsidTr="00061FA4">
        <w:trPr>
          <w:gridAfter w:val="1"/>
          <w:wAfter w:w="114" w:type="pct"/>
          <w:trHeight w:val="1297"/>
        </w:trPr>
        <w:tc>
          <w:tcPr>
            <w:tcW w:w="9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spacing w:line="320" w:lineRule="exact"/>
              <w:jc w:val="center"/>
              <w:rPr>
                <w:rFonts w:ascii="宋体" w:hAnsi="宋体" w:cs="宋体"/>
                <w:color w:val="000000"/>
                <w:sz w:val="20"/>
                <w:szCs w:val="20"/>
              </w:rPr>
            </w:pPr>
          </w:p>
        </w:tc>
        <w:tc>
          <w:tcPr>
            <w:tcW w:w="1924" w:type="pct"/>
            <w:gridSpan w:val="3"/>
            <w:tcBorders>
              <w:top w:val="single" w:sz="4" w:space="0" w:color="000000"/>
              <w:left w:val="single" w:sz="4" w:space="0" w:color="000000"/>
              <w:bottom w:val="single" w:sz="4" w:space="0" w:color="000000"/>
              <w:right w:val="single" w:sz="4" w:space="0" w:color="000000"/>
            </w:tcBorders>
            <w:shd w:val="clear" w:color="auto" w:fill="auto"/>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激励先进，调动人员积极性，更好的做好四川省维护稳定工作，保证社会稳定。</w:t>
            </w:r>
          </w:p>
        </w:tc>
        <w:tc>
          <w:tcPr>
            <w:tcW w:w="1967" w:type="pct"/>
            <w:gridSpan w:val="2"/>
            <w:tcBorders>
              <w:top w:val="single" w:sz="4" w:space="0" w:color="000000"/>
              <w:left w:val="single" w:sz="4" w:space="0" w:color="000000"/>
              <w:bottom w:val="single" w:sz="4" w:space="0" w:color="000000"/>
              <w:right w:val="single" w:sz="4" w:space="0" w:color="000000"/>
            </w:tcBorders>
            <w:shd w:val="clear" w:color="auto" w:fill="auto"/>
          </w:tcPr>
          <w:p w:rsidR="00B6583F" w:rsidRPr="002E7E7A" w:rsidRDefault="00B6583F" w:rsidP="00E45355">
            <w:pPr>
              <w:widowControl/>
              <w:spacing w:line="320" w:lineRule="exact"/>
              <w:textAlignment w:val="center"/>
              <w:rPr>
                <w:rFonts w:ascii="宋体" w:hAnsi="宋体" w:cs="宋体"/>
                <w:color w:val="000000"/>
                <w:sz w:val="20"/>
                <w:szCs w:val="20"/>
              </w:rPr>
            </w:pPr>
            <w:r w:rsidRPr="00330AC6">
              <w:rPr>
                <w:rFonts w:ascii="宋体" w:hAnsi="宋体" w:cs="宋体" w:hint="eastAsia"/>
                <w:color w:val="000000"/>
                <w:sz w:val="20"/>
                <w:szCs w:val="20"/>
              </w:rPr>
              <w:t>通过激励先进，更好地调动人员做好四川省维护稳定工作的积极性，保证社会稳定</w:t>
            </w:r>
          </w:p>
        </w:tc>
      </w:tr>
      <w:tr w:rsidR="00B6583F" w:rsidTr="00061FA4">
        <w:trPr>
          <w:gridAfter w:val="1"/>
          <w:wAfter w:w="114" w:type="pct"/>
          <w:trHeight w:val="738"/>
        </w:trPr>
        <w:tc>
          <w:tcPr>
            <w:tcW w:w="995" w:type="pct"/>
            <w:vMerge w:val="restart"/>
            <w:tcBorders>
              <w:top w:val="single" w:sz="4" w:space="0" w:color="000000"/>
              <w:left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仿宋_GB2312" w:hAnsi="仿宋_GB2312" w:cs="仿宋_GB2312"/>
                <w:color w:val="000000"/>
                <w:sz w:val="20"/>
                <w:szCs w:val="20"/>
              </w:rPr>
            </w:pPr>
            <w:r w:rsidRPr="002E7E7A">
              <w:rPr>
                <w:rFonts w:ascii="宋体" w:hAnsi="宋体" w:cs="宋体" w:hint="eastAsia"/>
                <w:color w:val="000000"/>
                <w:sz w:val="20"/>
                <w:szCs w:val="20"/>
              </w:rPr>
              <w:t>年度绩效指标完成情况</w:t>
            </w:r>
          </w:p>
        </w:tc>
        <w:tc>
          <w:tcPr>
            <w:tcW w:w="577" w:type="pct"/>
            <w:tcBorders>
              <w:top w:val="single" w:sz="4" w:space="0" w:color="000000"/>
              <w:left w:val="nil"/>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一级</w:t>
            </w:r>
          </w:p>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指标</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二级</w:t>
            </w:r>
          </w:p>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三级</w:t>
            </w:r>
          </w:p>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指标</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预期指标值</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实际完成指标值</w:t>
            </w:r>
          </w:p>
        </w:tc>
      </w:tr>
      <w:tr w:rsidR="00B6583F" w:rsidTr="00061FA4">
        <w:trPr>
          <w:gridAfter w:val="1"/>
          <w:wAfter w:w="114" w:type="pct"/>
          <w:trHeight w:val="480"/>
        </w:trPr>
        <w:tc>
          <w:tcPr>
            <w:tcW w:w="995" w:type="pct"/>
            <w:vMerge/>
            <w:tcBorders>
              <w:left w:val="single" w:sz="4" w:space="0" w:color="000000"/>
              <w:right w:val="single" w:sz="4" w:space="0" w:color="000000"/>
            </w:tcBorders>
            <w:shd w:val="clear" w:color="auto" w:fill="auto"/>
            <w:vAlign w:val="center"/>
          </w:tcPr>
          <w:p w:rsidR="00B6583F" w:rsidRPr="002E7E7A" w:rsidRDefault="00B6583F" w:rsidP="00E45355">
            <w:pPr>
              <w:spacing w:line="320" w:lineRule="exact"/>
              <w:jc w:val="center"/>
              <w:rPr>
                <w:rFonts w:ascii="仿宋_GB2312" w:hAnsi="仿宋_GB2312" w:cs="仿宋_GB2312"/>
                <w:color w:val="000000"/>
                <w:sz w:val="20"/>
                <w:szCs w:val="20"/>
              </w:rPr>
            </w:pPr>
          </w:p>
        </w:tc>
        <w:tc>
          <w:tcPr>
            <w:tcW w:w="5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完成</w:t>
            </w:r>
          </w:p>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指标</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数量指标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先锋人员</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200人</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200人</w:t>
            </w:r>
          </w:p>
        </w:tc>
      </w:tr>
      <w:tr w:rsidR="00B6583F" w:rsidTr="00061FA4">
        <w:trPr>
          <w:gridAfter w:val="1"/>
          <w:wAfter w:w="114" w:type="pct"/>
          <w:trHeight w:val="480"/>
        </w:trPr>
        <w:tc>
          <w:tcPr>
            <w:tcW w:w="995" w:type="pct"/>
            <w:vMerge/>
            <w:tcBorders>
              <w:left w:val="single" w:sz="4" w:space="0" w:color="000000"/>
              <w:right w:val="single" w:sz="4" w:space="0" w:color="000000"/>
            </w:tcBorders>
            <w:shd w:val="clear" w:color="auto" w:fill="auto"/>
            <w:vAlign w:val="center"/>
          </w:tcPr>
          <w:p w:rsidR="00B6583F" w:rsidRPr="002E7E7A" w:rsidRDefault="00B6583F" w:rsidP="00E45355">
            <w:pPr>
              <w:spacing w:line="320" w:lineRule="exact"/>
              <w:jc w:val="center"/>
              <w:rPr>
                <w:rFonts w:ascii="仿宋_GB2312" w:hAnsi="仿宋_GB2312" w:cs="仿宋_GB2312"/>
                <w:color w:val="000000"/>
                <w:sz w:val="20"/>
                <w:szCs w:val="20"/>
              </w:rPr>
            </w:pPr>
          </w:p>
        </w:tc>
        <w:tc>
          <w:tcPr>
            <w:tcW w:w="5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textAlignment w:val="center"/>
              <w:rPr>
                <w:rFonts w:ascii="宋体" w:hAnsi="宋体" w:cs="宋体"/>
                <w:color w:val="000000"/>
                <w:sz w:val="20"/>
                <w:szCs w:val="20"/>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数量指标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个人奖励标准</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5000元/人</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5000元/人</w:t>
            </w:r>
          </w:p>
        </w:tc>
      </w:tr>
      <w:tr w:rsidR="00B6583F" w:rsidTr="00061FA4">
        <w:trPr>
          <w:gridAfter w:val="1"/>
          <w:wAfter w:w="114" w:type="pct"/>
          <w:trHeight w:val="480"/>
        </w:trPr>
        <w:tc>
          <w:tcPr>
            <w:tcW w:w="995" w:type="pct"/>
            <w:vMerge/>
            <w:tcBorders>
              <w:left w:val="single" w:sz="4" w:space="0" w:color="000000"/>
              <w:right w:val="single" w:sz="4" w:space="0" w:color="000000"/>
            </w:tcBorders>
            <w:shd w:val="clear" w:color="auto" w:fill="auto"/>
            <w:vAlign w:val="center"/>
          </w:tcPr>
          <w:p w:rsidR="00B6583F" w:rsidRPr="002E7E7A" w:rsidRDefault="00B6583F" w:rsidP="00E45355">
            <w:pPr>
              <w:spacing w:line="320" w:lineRule="exact"/>
              <w:jc w:val="center"/>
              <w:rPr>
                <w:rFonts w:ascii="仿宋_GB2312" w:hAnsi="仿宋_GB2312" w:cs="仿宋_GB2312"/>
                <w:color w:val="000000"/>
                <w:sz w:val="20"/>
                <w:szCs w:val="20"/>
              </w:rPr>
            </w:pPr>
          </w:p>
        </w:tc>
        <w:tc>
          <w:tcPr>
            <w:tcW w:w="5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textAlignment w:val="center"/>
              <w:rPr>
                <w:rFonts w:ascii="宋体" w:hAnsi="宋体" w:cs="宋体"/>
                <w:color w:val="000000"/>
                <w:sz w:val="20"/>
                <w:szCs w:val="20"/>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数量指标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奖励时间</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textAlignment w:val="center"/>
              <w:rPr>
                <w:rFonts w:ascii="宋体" w:hAnsi="宋体" w:cs="宋体"/>
                <w:color w:val="000000"/>
                <w:sz w:val="20"/>
                <w:szCs w:val="20"/>
              </w:rPr>
            </w:pPr>
            <w:r>
              <w:rPr>
                <w:rFonts w:ascii="宋体" w:hAnsi="宋体" w:cs="宋体" w:hint="eastAsia"/>
                <w:color w:val="000000"/>
                <w:sz w:val="20"/>
                <w:szCs w:val="20"/>
              </w:rPr>
              <w:t>2021年6月</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textAlignment w:val="center"/>
              <w:rPr>
                <w:rFonts w:ascii="宋体" w:hAnsi="宋体" w:cs="宋体"/>
                <w:color w:val="000000"/>
                <w:sz w:val="20"/>
                <w:szCs w:val="20"/>
              </w:rPr>
            </w:pPr>
            <w:r>
              <w:rPr>
                <w:rFonts w:ascii="宋体" w:hAnsi="宋体" w:cs="宋体" w:hint="eastAsia"/>
                <w:color w:val="000000"/>
                <w:sz w:val="20"/>
                <w:szCs w:val="20"/>
              </w:rPr>
              <w:t>第一批2021年6月，第二批2021年12月。</w:t>
            </w:r>
          </w:p>
        </w:tc>
      </w:tr>
      <w:tr w:rsidR="00B6583F" w:rsidTr="00061FA4">
        <w:trPr>
          <w:gridAfter w:val="1"/>
          <w:wAfter w:w="114" w:type="pct"/>
          <w:trHeight w:val="931"/>
        </w:trPr>
        <w:tc>
          <w:tcPr>
            <w:tcW w:w="995" w:type="pct"/>
            <w:vMerge/>
            <w:tcBorders>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spacing w:line="320" w:lineRule="exact"/>
              <w:jc w:val="center"/>
              <w:rPr>
                <w:rFonts w:ascii="仿宋_GB2312" w:hAnsi="仿宋_GB2312" w:cs="仿宋_GB2312"/>
                <w:color w:val="000000"/>
                <w:sz w:val="20"/>
                <w:szCs w:val="20"/>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效益</w:t>
            </w:r>
            <w:r w:rsidRPr="002E7E7A">
              <w:rPr>
                <w:rFonts w:ascii="宋体" w:hAnsi="宋体" w:cs="宋体" w:hint="eastAsia"/>
                <w:color w:val="000000"/>
                <w:sz w:val="20"/>
                <w:szCs w:val="20"/>
              </w:rPr>
              <w:br/>
              <w:t>指标</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社会效益指标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激励先进，调动人员积极性，做好四川省维护稳定工作。</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激励先进，调动人员积极性，做好四川省维护稳定工作。</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textAlignment w:val="center"/>
              <w:rPr>
                <w:rFonts w:ascii="宋体" w:hAnsi="宋体" w:cs="宋体"/>
                <w:color w:val="000000"/>
                <w:sz w:val="20"/>
                <w:szCs w:val="20"/>
              </w:rPr>
            </w:pPr>
            <w:r w:rsidRPr="00330AC6">
              <w:rPr>
                <w:rFonts w:ascii="宋体" w:hAnsi="宋体" w:cs="宋体" w:hint="eastAsia"/>
                <w:color w:val="000000"/>
                <w:sz w:val="20"/>
                <w:szCs w:val="20"/>
              </w:rPr>
              <w:t>通过激励先进，更好地调动人员做好四川省维护稳定工作的积极性，保证社会稳定</w:t>
            </w:r>
          </w:p>
        </w:tc>
      </w:tr>
    </w:tbl>
    <w:p w:rsidR="00B6583F" w:rsidRDefault="00B6583F" w:rsidP="00B6583F"/>
    <w:p w:rsidR="00B6583F" w:rsidRPr="00AA5F92" w:rsidRDefault="00B6583F" w:rsidP="00B6583F">
      <w:pPr>
        <w:widowControl/>
        <w:jc w:val="center"/>
        <w:textAlignment w:val="center"/>
        <w:rPr>
          <w:rFonts w:ascii="宋体" w:hAnsi="宋体" w:cs="宋体"/>
          <w:b/>
          <w:color w:val="000000"/>
          <w:sz w:val="32"/>
          <w:szCs w:val="32"/>
        </w:rPr>
      </w:pPr>
    </w:p>
    <w:tbl>
      <w:tblPr>
        <w:tblpPr w:leftFromText="180" w:rightFromText="180" w:vertAnchor="text" w:horzAnchor="page" w:tblpX="1256" w:tblpY="221"/>
        <w:tblOverlap w:val="never"/>
        <w:tblW w:w="5572" w:type="pct"/>
        <w:tblLook w:val="04A0"/>
      </w:tblPr>
      <w:tblGrid>
        <w:gridCol w:w="1946"/>
        <w:gridCol w:w="1123"/>
        <w:gridCol w:w="1138"/>
        <w:gridCol w:w="1643"/>
        <w:gridCol w:w="1368"/>
        <w:gridCol w:w="2051"/>
        <w:gridCol w:w="165"/>
        <w:gridCol w:w="63"/>
      </w:tblGrid>
      <w:tr w:rsidR="00B6583F" w:rsidRPr="00AA5F92" w:rsidTr="00E45355">
        <w:trPr>
          <w:trHeight w:val="675"/>
        </w:trPr>
        <w:tc>
          <w:tcPr>
            <w:tcW w:w="4880" w:type="pct"/>
            <w:gridSpan w:val="6"/>
            <w:tcBorders>
              <w:top w:val="nil"/>
              <w:left w:val="nil"/>
              <w:bottom w:val="nil"/>
              <w:right w:val="nil"/>
            </w:tcBorders>
            <w:shd w:val="clear" w:color="auto" w:fill="auto"/>
            <w:vAlign w:val="center"/>
          </w:tcPr>
          <w:p w:rsidR="00B6583F" w:rsidRDefault="00B6583F" w:rsidP="00E45355">
            <w:pPr>
              <w:widowControl/>
              <w:jc w:val="center"/>
              <w:textAlignment w:val="center"/>
              <w:rPr>
                <w:rFonts w:ascii="宋体" w:hAnsi="宋体" w:cs="宋体"/>
                <w:b/>
                <w:color w:val="000000"/>
                <w:sz w:val="32"/>
                <w:szCs w:val="32"/>
              </w:rPr>
            </w:pPr>
          </w:p>
          <w:p w:rsidR="00B6583F" w:rsidRDefault="00B6583F" w:rsidP="00E45355">
            <w:pPr>
              <w:widowControl/>
              <w:jc w:val="center"/>
              <w:textAlignment w:val="center"/>
              <w:rPr>
                <w:rFonts w:ascii="宋体" w:hAnsi="宋体" w:cs="宋体"/>
                <w:b/>
                <w:color w:val="000000"/>
                <w:sz w:val="32"/>
                <w:szCs w:val="32"/>
              </w:rPr>
            </w:pPr>
          </w:p>
          <w:p w:rsidR="00B6583F" w:rsidRDefault="00B6583F" w:rsidP="00E45355">
            <w:pPr>
              <w:widowControl/>
              <w:jc w:val="center"/>
              <w:textAlignment w:val="center"/>
              <w:rPr>
                <w:rFonts w:ascii="宋体" w:hAnsi="宋体" w:cs="宋体"/>
                <w:b/>
                <w:color w:val="000000"/>
                <w:sz w:val="32"/>
                <w:szCs w:val="32"/>
              </w:rPr>
            </w:pPr>
          </w:p>
          <w:p w:rsidR="00B6583F" w:rsidRPr="00AA5F92" w:rsidRDefault="00B6583F" w:rsidP="00061FA4">
            <w:pPr>
              <w:widowControl/>
              <w:textAlignment w:val="center"/>
              <w:rPr>
                <w:rFonts w:ascii="宋体" w:hAnsi="宋体" w:cs="宋体"/>
                <w:b/>
                <w:color w:val="000000"/>
                <w:sz w:val="32"/>
                <w:szCs w:val="32"/>
              </w:rPr>
            </w:pPr>
          </w:p>
          <w:p w:rsidR="00061FA4" w:rsidRDefault="00061FA4" w:rsidP="00061FA4">
            <w:pPr>
              <w:widowControl/>
              <w:jc w:val="center"/>
              <w:textAlignment w:val="center"/>
              <w:rPr>
                <w:rFonts w:ascii="宋体" w:hAnsi="宋体" w:cs="宋体"/>
                <w:b/>
                <w:color w:val="000000"/>
                <w:spacing w:val="-6"/>
                <w:sz w:val="32"/>
                <w:szCs w:val="32"/>
              </w:rPr>
            </w:pPr>
            <w:r w:rsidRPr="006A60F9">
              <w:rPr>
                <w:rFonts w:ascii="宋体" w:hAnsi="宋体" w:cs="宋体" w:hint="eastAsia"/>
                <w:b/>
                <w:color w:val="000000"/>
                <w:spacing w:val="-6"/>
                <w:sz w:val="32"/>
                <w:szCs w:val="32"/>
              </w:rPr>
              <w:t>2021年100万元以上（含）特定目标类部门预算项目绩效目标自评</w:t>
            </w:r>
          </w:p>
          <w:p w:rsidR="00B6583F" w:rsidRPr="006A60F9" w:rsidRDefault="00061FA4" w:rsidP="00061FA4">
            <w:pPr>
              <w:widowControl/>
              <w:jc w:val="center"/>
              <w:textAlignment w:val="center"/>
              <w:rPr>
                <w:rFonts w:ascii="宋体" w:hAnsi="宋体" w:cs="宋体"/>
                <w:b/>
                <w:color w:val="000000"/>
                <w:spacing w:val="-6"/>
                <w:sz w:val="32"/>
                <w:szCs w:val="32"/>
              </w:rPr>
            </w:pPr>
            <w:r w:rsidRPr="00A97CC8">
              <w:rPr>
                <w:rFonts w:ascii="宋体" w:hAnsi="宋体" w:cs="宋体" w:hint="eastAsia"/>
                <w:b/>
                <w:color w:val="000000"/>
                <w:spacing w:val="-6"/>
                <w:sz w:val="32"/>
                <w:szCs w:val="32"/>
              </w:rPr>
              <w:t>（全省扫黑除恶专项斗争先进集体和先进个人表彰奖励</w:t>
            </w:r>
            <w:r>
              <w:rPr>
                <w:rFonts w:ascii="宋体" w:hAnsi="宋体" w:cs="宋体" w:hint="eastAsia"/>
                <w:b/>
                <w:color w:val="000000"/>
                <w:spacing w:val="-6"/>
                <w:sz w:val="32"/>
                <w:szCs w:val="32"/>
              </w:rPr>
              <w:t>项目</w:t>
            </w:r>
            <w:r w:rsidRPr="00A97CC8">
              <w:rPr>
                <w:rFonts w:ascii="宋体" w:hAnsi="宋体" w:cs="宋体" w:hint="eastAsia"/>
                <w:b/>
                <w:color w:val="000000"/>
                <w:spacing w:val="-6"/>
                <w:sz w:val="32"/>
                <w:szCs w:val="32"/>
              </w:rPr>
              <w:t>）</w:t>
            </w:r>
          </w:p>
        </w:tc>
        <w:tc>
          <w:tcPr>
            <w:tcW w:w="120" w:type="pct"/>
            <w:gridSpan w:val="2"/>
            <w:tcBorders>
              <w:top w:val="nil"/>
              <w:left w:val="nil"/>
              <w:bottom w:val="nil"/>
              <w:right w:val="nil"/>
            </w:tcBorders>
            <w:shd w:val="clear" w:color="auto" w:fill="auto"/>
            <w:vAlign w:val="center"/>
          </w:tcPr>
          <w:p w:rsidR="00B6583F" w:rsidRPr="00AA5F92" w:rsidRDefault="00B6583F" w:rsidP="00E45355">
            <w:pPr>
              <w:widowControl/>
              <w:jc w:val="center"/>
              <w:textAlignment w:val="center"/>
              <w:rPr>
                <w:rFonts w:ascii="宋体" w:hAnsi="宋体" w:cs="宋体"/>
                <w:b/>
                <w:color w:val="000000"/>
                <w:sz w:val="32"/>
                <w:szCs w:val="32"/>
              </w:rPr>
            </w:pPr>
          </w:p>
        </w:tc>
      </w:tr>
      <w:tr w:rsidR="00B6583F" w:rsidTr="00E45355">
        <w:trPr>
          <w:gridAfter w:val="1"/>
          <w:wAfter w:w="33" w:type="pct"/>
          <w:trHeight w:val="254"/>
        </w:trPr>
        <w:tc>
          <w:tcPr>
            <w:tcW w:w="16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管部门及代码</w:t>
            </w:r>
          </w:p>
        </w:tc>
        <w:tc>
          <w:tcPr>
            <w:tcW w:w="14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A95CA1">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203301</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实施单位</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中共四川省委政法委员会</w:t>
            </w:r>
          </w:p>
        </w:tc>
      </w:tr>
      <w:tr w:rsidR="00B6583F" w:rsidTr="00E45355">
        <w:trPr>
          <w:gridAfter w:val="1"/>
          <w:wAfter w:w="33" w:type="pct"/>
          <w:trHeight w:val="341"/>
        </w:trPr>
        <w:tc>
          <w:tcPr>
            <w:tcW w:w="16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项目预算</w:t>
            </w:r>
            <w:r w:rsidRPr="002E7E7A">
              <w:rPr>
                <w:rFonts w:ascii="宋体" w:hAnsi="宋体" w:cs="宋体" w:hint="eastAsia"/>
                <w:color w:val="000000"/>
                <w:kern w:val="0"/>
                <w:sz w:val="20"/>
                <w:szCs w:val="20"/>
              </w:rPr>
              <w:br/>
              <w:t>执行情况</w:t>
            </w:r>
            <w:r w:rsidRPr="002E7E7A">
              <w:rPr>
                <w:rFonts w:ascii="宋体" w:hAnsi="宋体" w:cs="宋体" w:hint="eastAsia"/>
                <w:color w:val="000000"/>
                <w:kern w:val="0"/>
                <w:sz w:val="20"/>
                <w:szCs w:val="20"/>
              </w:rPr>
              <w:br/>
              <w:t>（万元）</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 xml:space="preserve"> 预算数：</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105</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 xml:space="preserve"> 执行数：</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105</w:t>
            </w:r>
          </w:p>
        </w:tc>
      </w:tr>
      <w:tr w:rsidR="00B6583F" w:rsidTr="00E45355">
        <w:trPr>
          <w:gridAfter w:val="1"/>
          <w:wAfter w:w="33" w:type="pct"/>
          <w:trHeight w:val="577"/>
        </w:trPr>
        <w:tc>
          <w:tcPr>
            <w:tcW w:w="16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spacing w:line="320" w:lineRule="exact"/>
              <w:jc w:val="center"/>
              <w:rPr>
                <w:rFonts w:ascii="宋体" w:hAnsi="宋体" w:cs="宋体"/>
                <w:color w:val="000000"/>
                <w:sz w:val="20"/>
                <w:szCs w:val="20"/>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其中：</w:t>
            </w:r>
          </w:p>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财政拨款</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105</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其中：</w:t>
            </w:r>
          </w:p>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财政拨款</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105</w:t>
            </w:r>
          </w:p>
        </w:tc>
      </w:tr>
      <w:tr w:rsidR="00B6583F" w:rsidTr="00E45355">
        <w:trPr>
          <w:gridAfter w:val="1"/>
          <w:wAfter w:w="33" w:type="pct"/>
          <w:trHeight w:val="341"/>
        </w:trPr>
        <w:tc>
          <w:tcPr>
            <w:tcW w:w="16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spacing w:line="320" w:lineRule="exact"/>
              <w:jc w:val="center"/>
              <w:rPr>
                <w:rFonts w:ascii="宋体" w:hAnsi="宋体" w:cs="宋体"/>
                <w:color w:val="000000"/>
                <w:sz w:val="20"/>
                <w:szCs w:val="20"/>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其他资金</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其他资金</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p>
        </w:tc>
      </w:tr>
      <w:tr w:rsidR="00B6583F" w:rsidTr="00E45355">
        <w:trPr>
          <w:gridAfter w:val="1"/>
          <w:wAfter w:w="33" w:type="pct"/>
          <w:trHeight w:val="217"/>
        </w:trPr>
        <w:tc>
          <w:tcPr>
            <w:tcW w:w="10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年度总体目标</w:t>
            </w:r>
          </w:p>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完成情况</w:t>
            </w:r>
          </w:p>
        </w:tc>
        <w:tc>
          <w:tcPr>
            <w:tcW w:w="205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预期目标</w:t>
            </w:r>
          </w:p>
        </w:tc>
        <w:tc>
          <w:tcPr>
            <w:tcW w:w="18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目标实际完成情况</w:t>
            </w:r>
          </w:p>
        </w:tc>
      </w:tr>
      <w:tr w:rsidR="00B6583F" w:rsidTr="00E45355">
        <w:trPr>
          <w:gridAfter w:val="1"/>
          <w:wAfter w:w="33" w:type="pct"/>
          <w:trHeight w:val="1297"/>
        </w:trPr>
        <w:tc>
          <w:tcPr>
            <w:tcW w:w="10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spacing w:line="320" w:lineRule="exact"/>
              <w:jc w:val="center"/>
              <w:rPr>
                <w:rFonts w:ascii="宋体" w:hAnsi="宋体" w:cs="宋体"/>
                <w:color w:val="000000"/>
                <w:sz w:val="20"/>
                <w:szCs w:val="20"/>
              </w:rPr>
            </w:pPr>
          </w:p>
        </w:tc>
        <w:tc>
          <w:tcPr>
            <w:tcW w:w="2055" w:type="pct"/>
            <w:gridSpan w:val="3"/>
            <w:tcBorders>
              <w:top w:val="single" w:sz="4" w:space="0" w:color="000000"/>
              <w:left w:val="single" w:sz="4" w:space="0" w:color="000000"/>
              <w:bottom w:val="single" w:sz="4" w:space="0" w:color="000000"/>
              <w:right w:val="single" w:sz="4" w:space="0" w:color="000000"/>
            </w:tcBorders>
            <w:shd w:val="clear" w:color="auto" w:fill="auto"/>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激励先进，调动人员积极性，更好的做好四川省维护稳定工作，保证社会稳定。</w:t>
            </w:r>
          </w:p>
        </w:tc>
        <w:tc>
          <w:tcPr>
            <w:tcW w:w="1887" w:type="pct"/>
            <w:gridSpan w:val="3"/>
            <w:tcBorders>
              <w:top w:val="single" w:sz="4" w:space="0" w:color="000000"/>
              <w:left w:val="single" w:sz="4" w:space="0" w:color="000000"/>
              <w:bottom w:val="single" w:sz="4" w:space="0" w:color="000000"/>
              <w:right w:val="single" w:sz="4" w:space="0" w:color="000000"/>
            </w:tcBorders>
            <w:shd w:val="clear" w:color="auto" w:fill="auto"/>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330AC6">
              <w:rPr>
                <w:rFonts w:ascii="宋体" w:hAnsi="宋体" w:cs="宋体" w:hint="eastAsia"/>
                <w:color w:val="000000"/>
                <w:sz w:val="20"/>
                <w:szCs w:val="20"/>
              </w:rPr>
              <w:t>通过激励先进，更好地调动人员做好四川省维护稳定工作的积极性，保证社会稳定</w:t>
            </w:r>
          </w:p>
        </w:tc>
      </w:tr>
      <w:tr w:rsidR="00B6583F" w:rsidTr="00E45355">
        <w:trPr>
          <w:gridAfter w:val="1"/>
          <w:wAfter w:w="33" w:type="pct"/>
          <w:trHeight w:val="738"/>
        </w:trPr>
        <w:tc>
          <w:tcPr>
            <w:tcW w:w="1025" w:type="pct"/>
            <w:vMerge w:val="restart"/>
            <w:tcBorders>
              <w:top w:val="single" w:sz="4" w:space="0" w:color="000000"/>
              <w:left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年度绩效指标完成情况</w:t>
            </w:r>
          </w:p>
        </w:tc>
        <w:tc>
          <w:tcPr>
            <w:tcW w:w="591" w:type="pct"/>
            <w:tcBorders>
              <w:top w:val="single" w:sz="4" w:space="0" w:color="000000"/>
              <w:left w:val="nil"/>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一级</w:t>
            </w:r>
          </w:p>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指标</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二级</w:t>
            </w:r>
          </w:p>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指标</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三级</w:t>
            </w:r>
          </w:p>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指标</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预期指标值</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实际完成指标值</w:t>
            </w:r>
          </w:p>
        </w:tc>
      </w:tr>
      <w:tr w:rsidR="00B6583F" w:rsidTr="00E45355">
        <w:trPr>
          <w:gridAfter w:val="1"/>
          <w:wAfter w:w="33" w:type="pct"/>
          <w:trHeight w:val="480"/>
        </w:trPr>
        <w:tc>
          <w:tcPr>
            <w:tcW w:w="1025" w:type="pct"/>
            <w:vMerge/>
            <w:tcBorders>
              <w:left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p>
        </w:tc>
        <w:tc>
          <w:tcPr>
            <w:tcW w:w="5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完成</w:t>
            </w:r>
          </w:p>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指标</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数量指标</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先进个人数</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200人</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200人</w:t>
            </w:r>
          </w:p>
        </w:tc>
      </w:tr>
      <w:tr w:rsidR="00B6583F" w:rsidTr="00E45355">
        <w:trPr>
          <w:gridAfter w:val="1"/>
          <w:wAfter w:w="33" w:type="pct"/>
          <w:trHeight w:val="480"/>
        </w:trPr>
        <w:tc>
          <w:tcPr>
            <w:tcW w:w="1025" w:type="pct"/>
            <w:vMerge/>
            <w:tcBorders>
              <w:left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数量指标</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奖励标准</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5000元/人</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5000元/人</w:t>
            </w:r>
          </w:p>
        </w:tc>
      </w:tr>
      <w:tr w:rsidR="00B6583F" w:rsidTr="00E45355">
        <w:trPr>
          <w:gridAfter w:val="1"/>
          <w:wAfter w:w="33" w:type="pct"/>
          <w:trHeight w:val="480"/>
        </w:trPr>
        <w:tc>
          <w:tcPr>
            <w:tcW w:w="1025" w:type="pct"/>
            <w:vMerge/>
            <w:tcBorders>
              <w:left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数量指标</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先进集体数</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100人</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100人</w:t>
            </w:r>
          </w:p>
        </w:tc>
      </w:tr>
      <w:tr w:rsidR="00B6583F" w:rsidTr="00E45355">
        <w:trPr>
          <w:gridAfter w:val="1"/>
          <w:wAfter w:w="33" w:type="pct"/>
          <w:trHeight w:val="480"/>
        </w:trPr>
        <w:tc>
          <w:tcPr>
            <w:tcW w:w="1025" w:type="pct"/>
            <w:vMerge/>
            <w:tcBorders>
              <w:left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时效指标</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奖励时间</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计划2021年2月左右</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2021年</w:t>
            </w:r>
            <w:r>
              <w:rPr>
                <w:rFonts w:ascii="宋体" w:hAnsi="宋体" w:cs="宋体" w:hint="eastAsia"/>
                <w:color w:val="000000"/>
                <w:sz w:val="20"/>
                <w:szCs w:val="20"/>
              </w:rPr>
              <w:t>2</w:t>
            </w:r>
            <w:r w:rsidRPr="002E7E7A">
              <w:rPr>
                <w:rFonts w:ascii="宋体" w:hAnsi="宋体" w:cs="宋体" w:hint="eastAsia"/>
                <w:color w:val="000000"/>
                <w:sz w:val="20"/>
                <w:szCs w:val="20"/>
              </w:rPr>
              <w:t>月</w:t>
            </w:r>
          </w:p>
        </w:tc>
      </w:tr>
      <w:tr w:rsidR="00B6583F" w:rsidTr="00E45355">
        <w:trPr>
          <w:gridAfter w:val="1"/>
          <w:wAfter w:w="33" w:type="pct"/>
          <w:trHeight w:val="931"/>
        </w:trPr>
        <w:tc>
          <w:tcPr>
            <w:tcW w:w="1025" w:type="pct"/>
            <w:vMerge/>
            <w:tcBorders>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top"/>
              <w:rPr>
                <w:rFonts w:ascii="宋体" w:hAnsi="宋体" w:cs="宋体"/>
                <w:color w:val="000000"/>
                <w:sz w:val="20"/>
                <w:szCs w:val="20"/>
              </w:rPr>
            </w:pPr>
            <w:r w:rsidRPr="002E7E7A">
              <w:rPr>
                <w:rFonts w:ascii="宋体" w:hAnsi="宋体" w:cs="宋体" w:hint="eastAsia"/>
                <w:color w:val="000000"/>
                <w:sz w:val="20"/>
                <w:szCs w:val="20"/>
              </w:rPr>
              <w:t>效益</w:t>
            </w:r>
            <w:r w:rsidRPr="002E7E7A">
              <w:rPr>
                <w:rFonts w:ascii="宋体" w:hAnsi="宋体" w:cs="宋体" w:hint="eastAsia"/>
                <w:color w:val="000000"/>
                <w:sz w:val="20"/>
                <w:szCs w:val="20"/>
              </w:rPr>
              <w:br/>
              <w:t>指标</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top"/>
              <w:rPr>
                <w:rFonts w:ascii="宋体" w:hAnsi="宋体" w:cs="宋体"/>
                <w:color w:val="000000"/>
                <w:sz w:val="20"/>
                <w:szCs w:val="20"/>
              </w:rPr>
            </w:pPr>
            <w:r w:rsidRPr="002E7E7A">
              <w:rPr>
                <w:rFonts w:ascii="宋体" w:hAnsi="宋体" w:cs="宋体" w:hint="eastAsia"/>
                <w:color w:val="000000"/>
                <w:sz w:val="20"/>
                <w:szCs w:val="20"/>
              </w:rPr>
              <w:t>社会效益指标</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top"/>
              <w:rPr>
                <w:rFonts w:ascii="宋体" w:hAnsi="宋体" w:cs="宋体"/>
                <w:color w:val="000000"/>
                <w:sz w:val="20"/>
                <w:szCs w:val="20"/>
              </w:rPr>
            </w:pPr>
            <w:r w:rsidRPr="002E7E7A">
              <w:rPr>
                <w:rFonts w:ascii="宋体" w:hAnsi="宋体" w:cs="宋体" w:hint="eastAsia"/>
                <w:color w:val="000000"/>
                <w:sz w:val="20"/>
                <w:szCs w:val="20"/>
              </w:rPr>
              <w:t>激励先进，调动人员积极性，做好四川省维护稳定工作。</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center"/>
              <w:textAlignment w:val="top"/>
              <w:rPr>
                <w:rFonts w:ascii="宋体" w:hAnsi="宋体" w:cs="宋体"/>
                <w:color w:val="000000"/>
                <w:sz w:val="20"/>
                <w:szCs w:val="20"/>
              </w:rPr>
            </w:pPr>
            <w:r w:rsidRPr="002E7E7A">
              <w:rPr>
                <w:rFonts w:ascii="宋体" w:hAnsi="宋体" w:cs="宋体" w:hint="eastAsia"/>
                <w:color w:val="000000"/>
                <w:sz w:val="20"/>
                <w:szCs w:val="20"/>
              </w:rPr>
              <w:t>激励先进，调动人员积极性，做好四川省维护稳定工作。</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2E7E7A" w:rsidRDefault="00B6583F" w:rsidP="00E45355">
            <w:pPr>
              <w:widowControl/>
              <w:spacing w:line="320" w:lineRule="exact"/>
              <w:jc w:val="left"/>
              <w:textAlignment w:val="top"/>
              <w:rPr>
                <w:rFonts w:ascii="宋体" w:hAnsi="宋体" w:cs="宋体"/>
                <w:color w:val="000000"/>
                <w:sz w:val="20"/>
                <w:szCs w:val="20"/>
              </w:rPr>
            </w:pPr>
            <w:r w:rsidRPr="00330AC6">
              <w:rPr>
                <w:rFonts w:ascii="宋体" w:hAnsi="宋体" w:cs="宋体" w:hint="eastAsia"/>
                <w:color w:val="000000"/>
                <w:sz w:val="20"/>
                <w:szCs w:val="20"/>
              </w:rPr>
              <w:t>通过激励先进，更好地调动人员做好四川省维护稳定工作的积极性，保证社会稳定</w:t>
            </w:r>
          </w:p>
        </w:tc>
      </w:tr>
    </w:tbl>
    <w:p w:rsidR="00B6583F" w:rsidRPr="005F3D2B" w:rsidRDefault="00B6583F" w:rsidP="00B6583F"/>
    <w:p w:rsidR="00B6583F" w:rsidRPr="002E7E7A" w:rsidRDefault="00B6583F" w:rsidP="00B6583F"/>
    <w:p w:rsidR="00B6583F" w:rsidRPr="005223CC" w:rsidRDefault="00B6583F" w:rsidP="00B6583F">
      <w:pPr>
        <w:spacing w:line="600" w:lineRule="exact"/>
        <w:ind w:left="645"/>
        <w:rPr>
          <w:spacing w:val="6"/>
          <w:szCs w:val="32"/>
        </w:rPr>
      </w:pPr>
    </w:p>
    <w:p w:rsidR="00B6583F" w:rsidRDefault="00B6583F" w:rsidP="00B6583F">
      <w:pPr>
        <w:spacing w:line="600" w:lineRule="exact"/>
        <w:ind w:right="-23" w:firstLineChars="200" w:firstLine="444"/>
        <w:jc w:val="center"/>
        <w:rPr>
          <w:spacing w:val="6"/>
          <w:szCs w:val="32"/>
        </w:rPr>
      </w:pPr>
    </w:p>
    <w:p w:rsidR="00B6583F" w:rsidRDefault="00B6583F" w:rsidP="00B6583F">
      <w:pPr>
        <w:widowControl/>
        <w:adjustRightInd w:val="0"/>
        <w:snapToGrid w:val="0"/>
        <w:spacing w:line="580" w:lineRule="exact"/>
        <w:ind w:firstLineChars="200" w:firstLine="420"/>
        <w:contextualSpacing/>
        <w:jc w:val="left"/>
        <w:rPr>
          <w:rFonts w:ascii="仿宋_GB2312" w:hAnsi="宋体" w:cs="宋体"/>
          <w:color w:val="000000"/>
          <w:kern w:val="0"/>
          <w:szCs w:val="32"/>
          <w:shd w:val="clear" w:color="auto" w:fill="FFFFFF"/>
          <w:lang w:val="zh-CN"/>
        </w:rPr>
      </w:pPr>
    </w:p>
    <w:p w:rsidR="00B6583F" w:rsidRDefault="00B6583F" w:rsidP="00B6583F">
      <w:pPr>
        <w:widowControl/>
        <w:adjustRightInd w:val="0"/>
        <w:snapToGrid w:val="0"/>
        <w:spacing w:line="580" w:lineRule="exact"/>
        <w:ind w:firstLineChars="200" w:firstLine="420"/>
        <w:contextualSpacing/>
        <w:jc w:val="left"/>
        <w:rPr>
          <w:rFonts w:ascii="仿宋_GB2312" w:hAnsi="宋体" w:cs="宋体"/>
          <w:color w:val="000000"/>
          <w:kern w:val="0"/>
          <w:szCs w:val="32"/>
          <w:shd w:val="clear" w:color="auto" w:fill="FFFFFF"/>
          <w:lang w:val="zh-CN"/>
        </w:rPr>
      </w:pPr>
    </w:p>
    <w:p w:rsidR="00B6583F" w:rsidRPr="000F119A" w:rsidRDefault="00B6583F" w:rsidP="00B6583F">
      <w:pPr>
        <w:pStyle w:val="a0"/>
        <w:spacing w:before="93"/>
        <w:rPr>
          <w:lang w:val="zh-CN"/>
        </w:rPr>
      </w:pPr>
    </w:p>
    <w:tbl>
      <w:tblPr>
        <w:tblpPr w:leftFromText="180" w:rightFromText="180" w:vertAnchor="text" w:horzAnchor="page" w:tblpX="1256" w:tblpY="221"/>
        <w:tblOverlap w:val="never"/>
        <w:tblW w:w="5778" w:type="pct"/>
        <w:tblLook w:val="04A0"/>
      </w:tblPr>
      <w:tblGrid>
        <w:gridCol w:w="1981"/>
        <w:gridCol w:w="1140"/>
        <w:gridCol w:w="1333"/>
        <w:gridCol w:w="1936"/>
        <w:gridCol w:w="1117"/>
        <w:gridCol w:w="522"/>
        <w:gridCol w:w="1597"/>
        <w:gridCol w:w="222"/>
      </w:tblGrid>
      <w:tr w:rsidR="00061FA4" w:rsidTr="00061FA4">
        <w:trPr>
          <w:trHeight w:val="675"/>
        </w:trPr>
        <w:tc>
          <w:tcPr>
            <w:tcW w:w="4887" w:type="pct"/>
            <w:gridSpan w:val="7"/>
            <w:tcBorders>
              <w:top w:val="nil"/>
              <w:left w:val="nil"/>
              <w:bottom w:val="nil"/>
              <w:right w:val="nil"/>
            </w:tcBorders>
            <w:shd w:val="clear" w:color="auto" w:fill="auto"/>
            <w:vAlign w:val="center"/>
          </w:tcPr>
          <w:p w:rsidR="00061FA4" w:rsidRDefault="00061FA4" w:rsidP="00061FA4">
            <w:pPr>
              <w:widowControl/>
              <w:jc w:val="center"/>
              <w:textAlignment w:val="center"/>
              <w:rPr>
                <w:rFonts w:ascii="宋体" w:hAnsi="宋体" w:cs="宋体"/>
                <w:b/>
                <w:color w:val="000000"/>
                <w:sz w:val="32"/>
                <w:szCs w:val="32"/>
              </w:rPr>
            </w:pPr>
            <w:r w:rsidRPr="00AA5F92">
              <w:rPr>
                <w:rFonts w:ascii="宋体" w:hAnsi="宋体" w:cs="宋体" w:hint="eastAsia"/>
                <w:b/>
                <w:color w:val="000000"/>
                <w:sz w:val="32"/>
                <w:szCs w:val="32"/>
              </w:rPr>
              <w:t>2021年100万元以上（含）特定目标类部门预算项目绩效目标自评</w:t>
            </w:r>
          </w:p>
          <w:p w:rsidR="00061FA4" w:rsidRPr="00A97CC8" w:rsidRDefault="00061FA4" w:rsidP="00061FA4">
            <w:pPr>
              <w:pStyle w:val="a0"/>
              <w:spacing w:before="93"/>
              <w:jc w:val="center"/>
              <w:rPr>
                <w:rFonts w:ascii="宋体" w:eastAsia="宋体" w:hAnsi="宋体" w:cs="宋体"/>
                <w:b/>
                <w:color w:val="000000"/>
                <w:kern w:val="2"/>
                <w:sz w:val="32"/>
                <w:szCs w:val="32"/>
              </w:rPr>
            </w:pPr>
            <w:r w:rsidRPr="00A97CC8">
              <w:rPr>
                <w:rFonts w:ascii="宋体" w:eastAsia="宋体" w:hAnsi="宋体" w:cs="宋体" w:hint="eastAsia"/>
                <w:b/>
                <w:color w:val="000000"/>
                <w:kern w:val="2"/>
                <w:sz w:val="32"/>
                <w:szCs w:val="32"/>
              </w:rPr>
              <w:t>（政法工作宣传</w:t>
            </w:r>
            <w:r>
              <w:rPr>
                <w:rFonts w:ascii="宋体" w:eastAsia="宋体" w:hAnsi="宋体" w:cs="宋体" w:hint="eastAsia"/>
                <w:b/>
                <w:color w:val="000000"/>
                <w:kern w:val="2"/>
                <w:sz w:val="32"/>
                <w:szCs w:val="32"/>
              </w:rPr>
              <w:t>项目</w:t>
            </w:r>
            <w:r w:rsidRPr="00A97CC8">
              <w:rPr>
                <w:rFonts w:ascii="宋体" w:eastAsia="宋体" w:hAnsi="宋体" w:cs="宋体" w:hint="eastAsia"/>
                <w:b/>
                <w:color w:val="000000"/>
                <w:kern w:val="2"/>
                <w:sz w:val="32"/>
                <w:szCs w:val="32"/>
              </w:rPr>
              <w:t>）</w:t>
            </w:r>
          </w:p>
        </w:tc>
        <w:tc>
          <w:tcPr>
            <w:tcW w:w="113" w:type="pct"/>
            <w:tcBorders>
              <w:top w:val="nil"/>
              <w:left w:val="nil"/>
              <w:bottom w:val="nil"/>
              <w:right w:val="nil"/>
            </w:tcBorders>
            <w:shd w:val="clear" w:color="auto" w:fill="auto"/>
            <w:vAlign w:val="center"/>
          </w:tcPr>
          <w:p w:rsidR="00061FA4" w:rsidRDefault="00061FA4" w:rsidP="00061FA4">
            <w:pPr>
              <w:widowControl/>
              <w:jc w:val="center"/>
              <w:textAlignment w:val="center"/>
              <w:rPr>
                <w:rFonts w:ascii="宋体" w:hAnsi="宋体" w:cs="宋体"/>
                <w:b/>
                <w:color w:val="000000"/>
                <w:kern w:val="0"/>
                <w:szCs w:val="32"/>
              </w:rPr>
            </w:pPr>
          </w:p>
        </w:tc>
      </w:tr>
      <w:tr w:rsidR="00B6583F" w:rsidTr="00061FA4">
        <w:trPr>
          <w:gridAfter w:val="1"/>
          <w:wAfter w:w="113" w:type="pct"/>
          <w:trHeight w:val="254"/>
        </w:trPr>
        <w:tc>
          <w:tcPr>
            <w:tcW w:w="15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主管部门及代码</w:t>
            </w:r>
          </w:p>
        </w:tc>
        <w:tc>
          <w:tcPr>
            <w:tcW w:w="16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A95CA1">
            <w:pPr>
              <w:widowControl/>
              <w:spacing w:line="320" w:lineRule="exact"/>
              <w:textAlignment w:val="center"/>
              <w:rPr>
                <w:rFonts w:ascii="宋体" w:hAnsi="宋体" w:cs="宋体"/>
                <w:color w:val="000000"/>
                <w:sz w:val="20"/>
                <w:szCs w:val="20"/>
              </w:rPr>
            </w:pPr>
            <w:r w:rsidRPr="00CC526C">
              <w:rPr>
                <w:rFonts w:ascii="宋体" w:hAnsi="宋体" w:cs="宋体" w:hint="eastAsia"/>
                <w:color w:val="000000"/>
                <w:sz w:val="20"/>
                <w:szCs w:val="20"/>
              </w:rPr>
              <w:t>203301</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实施单位</w:t>
            </w:r>
          </w:p>
        </w:tc>
        <w:tc>
          <w:tcPr>
            <w:tcW w:w="10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sz w:val="20"/>
                <w:szCs w:val="20"/>
              </w:rPr>
              <w:t>中共四川省委政法委员会</w:t>
            </w:r>
          </w:p>
        </w:tc>
      </w:tr>
      <w:tr w:rsidR="00B6583F" w:rsidTr="00061FA4">
        <w:trPr>
          <w:gridAfter w:val="1"/>
          <w:wAfter w:w="113" w:type="pct"/>
          <w:trHeight w:val="341"/>
        </w:trPr>
        <w:tc>
          <w:tcPr>
            <w:tcW w:w="158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项目预算</w:t>
            </w:r>
            <w:r w:rsidRPr="00CC526C">
              <w:rPr>
                <w:rFonts w:ascii="宋体" w:hAnsi="宋体" w:cs="宋体" w:hint="eastAsia"/>
                <w:color w:val="000000"/>
                <w:kern w:val="0"/>
                <w:sz w:val="20"/>
                <w:szCs w:val="20"/>
              </w:rPr>
              <w:br/>
              <w:t>执行情况</w:t>
            </w:r>
            <w:r w:rsidRPr="00CC526C">
              <w:rPr>
                <w:rFonts w:ascii="宋体" w:hAnsi="宋体" w:cs="宋体" w:hint="eastAsia"/>
                <w:color w:val="000000"/>
                <w:kern w:val="0"/>
                <w:sz w:val="20"/>
                <w:szCs w:val="20"/>
              </w:rPr>
              <w:br/>
              <w:t>（万元）</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 xml:space="preserve"> 预算数：</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sz w:val="20"/>
                <w:szCs w:val="20"/>
              </w:rPr>
              <w:t>205</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 xml:space="preserve"> 执行数：</w:t>
            </w:r>
          </w:p>
        </w:tc>
        <w:tc>
          <w:tcPr>
            <w:tcW w:w="10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sz w:val="20"/>
                <w:szCs w:val="20"/>
              </w:rPr>
              <w:t>205</w:t>
            </w:r>
          </w:p>
        </w:tc>
      </w:tr>
      <w:tr w:rsidR="00B6583F" w:rsidTr="00061FA4">
        <w:trPr>
          <w:gridAfter w:val="1"/>
          <w:wAfter w:w="113" w:type="pct"/>
          <w:trHeight w:val="577"/>
        </w:trPr>
        <w:tc>
          <w:tcPr>
            <w:tcW w:w="15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spacing w:line="320" w:lineRule="exact"/>
              <w:jc w:val="center"/>
              <w:rPr>
                <w:rFonts w:ascii="宋体" w:hAnsi="宋体" w:cs="宋体"/>
                <w:color w:val="000000"/>
                <w:sz w:val="20"/>
                <w:szCs w:val="20"/>
              </w:rPr>
            </w:pP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center"/>
              <w:rPr>
                <w:rFonts w:ascii="宋体" w:hAnsi="宋体" w:cs="宋体"/>
                <w:color w:val="000000"/>
                <w:kern w:val="0"/>
                <w:sz w:val="20"/>
                <w:szCs w:val="20"/>
              </w:rPr>
            </w:pPr>
            <w:r w:rsidRPr="00CC526C">
              <w:rPr>
                <w:rFonts w:ascii="宋体" w:hAnsi="宋体" w:cs="宋体" w:hint="eastAsia"/>
                <w:color w:val="000000"/>
                <w:kern w:val="0"/>
                <w:sz w:val="20"/>
                <w:szCs w:val="20"/>
              </w:rPr>
              <w:t>其中：</w:t>
            </w:r>
          </w:p>
          <w:p w:rsidR="00B6583F" w:rsidRPr="00CC526C" w:rsidRDefault="00B6583F" w:rsidP="00E453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财政拨款</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sz w:val="20"/>
                <w:szCs w:val="20"/>
              </w:rPr>
              <w:t>205</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center"/>
              <w:rPr>
                <w:rFonts w:ascii="宋体" w:hAnsi="宋体" w:cs="宋体"/>
                <w:color w:val="000000"/>
                <w:kern w:val="0"/>
                <w:sz w:val="20"/>
                <w:szCs w:val="20"/>
              </w:rPr>
            </w:pPr>
            <w:r w:rsidRPr="00CC526C">
              <w:rPr>
                <w:rFonts w:ascii="宋体" w:hAnsi="宋体" w:cs="宋体" w:hint="eastAsia"/>
                <w:color w:val="000000"/>
                <w:kern w:val="0"/>
                <w:sz w:val="20"/>
                <w:szCs w:val="20"/>
              </w:rPr>
              <w:t>其中：</w:t>
            </w:r>
          </w:p>
          <w:p w:rsidR="00B6583F" w:rsidRPr="00CC526C" w:rsidRDefault="00B6583F" w:rsidP="00E453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财政拨款</w:t>
            </w:r>
          </w:p>
        </w:tc>
        <w:tc>
          <w:tcPr>
            <w:tcW w:w="10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sz w:val="20"/>
                <w:szCs w:val="20"/>
              </w:rPr>
              <w:t>205</w:t>
            </w:r>
          </w:p>
        </w:tc>
      </w:tr>
      <w:tr w:rsidR="00B6583F" w:rsidTr="00061FA4">
        <w:trPr>
          <w:gridAfter w:val="1"/>
          <w:wAfter w:w="113" w:type="pct"/>
          <w:trHeight w:val="341"/>
        </w:trPr>
        <w:tc>
          <w:tcPr>
            <w:tcW w:w="158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spacing w:line="320" w:lineRule="exact"/>
              <w:jc w:val="center"/>
              <w:rPr>
                <w:rFonts w:ascii="宋体" w:hAnsi="宋体" w:cs="宋体"/>
                <w:color w:val="000000"/>
                <w:sz w:val="20"/>
                <w:szCs w:val="20"/>
              </w:rPr>
            </w:pP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其他资金</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center"/>
              <w:rPr>
                <w:rFonts w:ascii="宋体" w:hAnsi="宋体" w:cs="宋体"/>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其他资金</w:t>
            </w:r>
          </w:p>
        </w:tc>
        <w:tc>
          <w:tcPr>
            <w:tcW w:w="10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center"/>
              <w:rPr>
                <w:rFonts w:ascii="宋体" w:hAnsi="宋体" w:cs="宋体"/>
                <w:color w:val="000000"/>
                <w:sz w:val="20"/>
                <w:szCs w:val="20"/>
              </w:rPr>
            </w:pPr>
          </w:p>
        </w:tc>
      </w:tr>
      <w:tr w:rsidR="00B6583F" w:rsidTr="00061FA4">
        <w:trPr>
          <w:gridAfter w:val="1"/>
          <w:wAfter w:w="113" w:type="pct"/>
          <w:trHeight w:val="217"/>
        </w:trPr>
        <w:tc>
          <w:tcPr>
            <w:tcW w:w="10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center"/>
              <w:rPr>
                <w:rFonts w:ascii="宋体" w:hAnsi="宋体" w:cs="宋体"/>
                <w:color w:val="000000"/>
                <w:kern w:val="0"/>
                <w:sz w:val="20"/>
                <w:szCs w:val="20"/>
              </w:rPr>
            </w:pPr>
            <w:r w:rsidRPr="00CC526C">
              <w:rPr>
                <w:rFonts w:ascii="宋体" w:hAnsi="宋体" w:cs="宋体" w:hint="eastAsia"/>
                <w:color w:val="000000"/>
                <w:kern w:val="0"/>
                <w:sz w:val="20"/>
                <w:szCs w:val="20"/>
              </w:rPr>
              <w:t>年度总体目标</w:t>
            </w:r>
          </w:p>
          <w:p w:rsidR="00B6583F" w:rsidRPr="00CC526C" w:rsidRDefault="00B6583F" w:rsidP="00E453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完成情况</w:t>
            </w:r>
          </w:p>
        </w:tc>
        <w:tc>
          <w:tcPr>
            <w:tcW w:w="223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预期目标</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目标实际完成情况</w:t>
            </w:r>
          </w:p>
        </w:tc>
      </w:tr>
      <w:tr w:rsidR="00B6583F" w:rsidTr="00061FA4">
        <w:trPr>
          <w:gridAfter w:val="1"/>
          <w:wAfter w:w="113" w:type="pct"/>
          <w:trHeight w:val="1297"/>
        </w:trPr>
        <w:tc>
          <w:tcPr>
            <w:tcW w:w="10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spacing w:line="320" w:lineRule="exact"/>
              <w:jc w:val="center"/>
              <w:rPr>
                <w:rFonts w:ascii="宋体" w:hAnsi="宋体" w:cs="宋体"/>
                <w:color w:val="000000"/>
                <w:sz w:val="20"/>
                <w:szCs w:val="20"/>
              </w:rPr>
            </w:pPr>
          </w:p>
        </w:tc>
        <w:tc>
          <w:tcPr>
            <w:tcW w:w="2239" w:type="pct"/>
            <w:gridSpan w:val="3"/>
            <w:tcBorders>
              <w:top w:val="single" w:sz="4" w:space="0" w:color="000000"/>
              <w:left w:val="single" w:sz="4" w:space="0" w:color="000000"/>
              <w:bottom w:val="single" w:sz="4" w:space="0" w:color="000000"/>
              <w:right w:val="single" w:sz="4" w:space="0" w:color="000000"/>
            </w:tcBorders>
            <w:shd w:val="clear" w:color="auto" w:fill="auto"/>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1.2021年与四川日报合作刊发政法盘点稿件。2.围绕主题宣传制作微电影、微视频、微动漫、舞台剧等作品。3.购买网络舆情监测服务，开展7*24小时常态化舆情监测，动态抓取分析涉政法、</w:t>
            </w:r>
            <w:proofErr w:type="gramStart"/>
            <w:r w:rsidRPr="00CC526C">
              <w:rPr>
                <w:rFonts w:ascii="宋体" w:hAnsi="宋体" w:cs="宋体" w:hint="eastAsia"/>
                <w:color w:val="000000"/>
                <w:sz w:val="20"/>
                <w:szCs w:val="20"/>
              </w:rPr>
              <w:t>涉政治</w:t>
            </w:r>
            <w:proofErr w:type="gramEnd"/>
            <w:r w:rsidRPr="00CC526C">
              <w:rPr>
                <w:rFonts w:ascii="宋体" w:hAnsi="宋体" w:cs="宋体" w:hint="eastAsia"/>
                <w:color w:val="000000"/>
                <w:sz w:val="20"/>
                <w:szCs w:val="20"/>
              </w:rPr>
              <w:t>安全、</w:t>
            </w:r>
            <w:proofErr w:type="gramStart"/>
            <w:r w:rsidRPr="00CC526C">
              <w:rPr>
                <w:rFonts w:ascii="宋体" w:hAnsi="宋体" w:cs="宋体" w:hint="eastAsia"/>
                <w:color w:val="000000"/>
                <w:sz w:val="20"/>
                <w:szCs w:val="20"/>
              </w:rPr>
              <w:t>涉稳定</w:t>
            </w:r>
            <w:proofErr w:type="gramEnd"/>
            <w:r w:rsidRPr="00CC526C">
              <w:rPr>
                <w:rFonts w:ascii="宋体" w:hAnsi="宋体" w:cs="宋体" w:hint="eastAsia"/>
                <w:color w:val="000000"/>
                <w:sz w:val="20"/>
                <w:szCs w:val="20"/>
              </w:rPr>
              <w:t>等信息，及时报送，并提供1名专职人员在宣传指导处驻点。4.购买政法舆情态势分析，围绕涉国家政治安全、社会稳定等具体事件,聘请专业公司开展全省政法网络舆情态势分析，提供季度、年度态势分析报告开展深度分析。4.支付新</w:t>
            </w:r>
            <w:proofErr w:type="gramStart"/>
            <w:r w:rsidRPr="00CC526C">
              <w:rPr>
                <w:rFonts w:ascii="宋体" w:hAnsi="宋体" w:cs="宋体" w:hint="eastAsia"/>
                <w:color w:val="000000"/>
                <w:sz w:val="20"/>
                <w:szCs w:val="20"/>
              </w:rPr>
              <w:t>媒体网</w:t>
            </w:r>
            <w:proofErr w:type="gramEnd"/>
            <w:r w:rsidRPr="00CC526C">
              <w:rPr>
                <w:rFonts w:ascii="宋体" w:hAnsi="宋体" w:cs="宋体" w:hint="eastAsia"/>
                <w:color w:val="000000"/>
                <w:sz w:val="20"/>
                <w:szCs w:val="20"/>
              </w:rPr>
              <w:t>评员稿费。5.第三届“平安中国看四川”</w:t>
            </w:r>
            <w:proofErr w:type="gramStart"/>
            <w:r w:rsidRPr="00CC526C">
              <w:rPr>
                <w:rFonts w:ascii="宋体" w:hAnsi="宋体" w:cs="宋体" w:hint="eastAsia"/>
                <w:color w:val="000000"/>
                <w:sz w:val="20"/>
                <w:szCs w:val="20"/>
              </w:rPr>
              <w:t>微电影微</w:t>
            </w:r>
            <w:proofErr w:type="gramEnd"/>
            <w:r w:rsidRPr="00CC526C">
              <w:rPr>
                <w:rFonts w:ascii="宋体" w:hAnsi="宋体" w:cs="宋体" w:hint="eastAsia"/>
                <w:color w:val="000000"/>
                <w:sz w:val="20"/>
                <w:szCs w:val="20"/>
              </w:rPr>
              <w:t>视频</w:t>
            </w:r>
            <w:proofErr w:type="gramStart"/>
            <w:r w:rsidRPr="00CC526C">
              <w:rPr>
                <w:rFonts w:ascii="宋体" w:hAnsi="宋体" w:cs="宋体" w:hint="eastAsia"/>
                <w:color w:val="000000"/>
                <w:sz w:val="20"/>
                <w:szCs w:val="20"/>
              </w:rPr>
              <w:t>微动漫和政法</w:t>
            </w:r>
            <w:proofErr w:type="gramEnd"/>
            <w:r w:rsidRPr="00CC526C">
              <w:rPr>
                <w:rFonts w:ascii="宋体" w:hAnsi="宋体" w:cs="宋体" w:hint="eastAsia"/>
                <w:color w:val="000000"/>
                <w:sz w:val="20"/>
                <w:szCs w:val="20"/>
              </w:rPr>
              <w:t>优秀新闻的评选与推广，评审费发放、证书制作、移动存储设备购买，在</w:t>
            </w:r>
            <w:proofErr w:type="gramStart"/>
            <w:r w:rsidRPr="00CC526C">
              <w:rPr>
                <w:rFonts w:ascii="宋体" w:hAnsi="宋体" w:cs="宋体" w:hint="eastAsia"/>
                <w:color w:val="000000"/>
                <w:sz w:val="20"/>
                <w:szCs w:val="20"/>
              </w:rPr>
              <w:t>爱奇艺、腾讯</w:t>
            </w:r>
            <w:proofErr w:type="gramEnd"/>
            <w:r w:rsidRPr="00CC526C">
              <w:rPr>
                <w:rFonts w:ascii="宋体" w:hAnsi="宋体" w:cs="宋体" w:hint="eastAsia"/>
                <w:color w:val="000000"/>
                <w:sz w:val="20"/>
                <w:szCs w:val="20"/>
              </w:rPr>
              <w:t>等平台开展合作，进行优秀作品展播等。9.印制新闻报道集、宣传舆论工作制度汇编。10.《四川政法》1年12期印刷费及编辑服务、稿费。11.重大工作任务宣传报道，相关资料编印。12.根据中央、省委有关要求，组织开展新闻采编。</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color w:val="000000"/>
                <w:sz w:val="20"/>
                <w:szCs w:val="20"/>
              </w:rPr>
              <w:t>1.2021年与四川日报合作刊发政法盘点稿件</w:t>
            </w:r>
            <w:r w:rsidRPr="00CC526C">
              <w:rPr>
                <w:rFonts w:ascii="宋体" w:hAnsi="宋体" w:cs="宋体" w:hint="eastAsia"/>
                <w:color w:val="000000"/>
                <w:sz w:val="20"/>
                <w:szCs w:val="20"/>
              </w:rPr>
              <w:t>5篇</w:t>
            </w:r>
            <w:r w:rsidRPr="00CC526C">
              <w:rPr>
                <w:rFonts w:ascii="宋体" w:hAnsi="宋体" w:cs="宋体"/>
                <w:color w:val="000000"/>
                <w:sz w:val="20"/>
                <w:szCs w:val="20"/>
              </w:rPr>
              <w:t>。2.围绕主题宣传制作</w:t>
            </w:r>
            <w:proofErr w:type="gramStart"/>
            <w:r w:rsidRPr="00CC526C">
              <w:rPr>
                <w:rFonts w:ascii="宋体" w:hAnsi="宋体" w:cs="宋体"/>
                <w:color w:val="000000"/>
                <w:sz w:val="20"/>
                <w:szCs w:val="20"/>
              </w:rPr>
              <w:t>微电影</w:t>
            </w:r>
            <w:proofErr w:type="gramEnd"/>
            <w:r w:rsidRPr="00CC526C">
              <w:rPr>
                <w:rFonts w:ascii="宋体" w:hAnsi="宋体" w:cs="宋体" w:hint="eastAsia"/>
                <w:color w:val="000000"/>
                <w:sz w:val="20"/>
                <w:szCs w:val="20"/>
              </w:rPr>
              <w:t>1部</w:t>
            </w:r>
            <w:r w:rsidRPr="00CC526C">
              <w:rPr>
                <w:rFonts w:ascii="宋体" w:hAnsi="宋体" w:cs="宋体"/>
                <w:color w:val="000000"/>
                <w:sz w:val="20"/>
                <w:szCs w:val="20"/>
              </w:rPr>
              <w:t>。3.购买网络舆情监测服务，开展7*24小时常态化舆情监测，动态抓取分析涉政法、</w:t>
            </w:r>
            <w:proofErr w:type="gramStart"/>
            <w:r w:rsidRPr="00CC526C">
              <w:rPr>
                <w:rFonts w:ascii="宋体" w:hAnsi="宋体" w:cs="宋体"/>
                <w:color w:val="000000"/>
                <w:sz w:val="20"/>
                <w:szCs w:val="20"/>
              </w:rPr>
              <w:t>涉政治</w:t>
            </w:r>
            <w:proofErr w:type="gramEnd"/>
            <w:r w:rsidRPr="00CC526C">
              <w:rPr>
                <w:rFonts w:ascii="宋体" w:hAnsi="宋体" w:cs="宋体"/>
                <w:color w:val="000000"/>
                <w:sz w:val="20"/>
                <w:szCs w:val="20"/>
              </w:rPr>
              <w:t>安全、</w:t>
            </w:r>
            <w:proofErr w:type="gramStart"/>
            <w:r w:rsidRPr="00CC526C">
              <w:rPr>
                <w:rFonts w:ascii="宋体" w:hAnsi="宋体" w:cs="宋体"/>
                <w:color w:val="000000"/>
                <w:sz w:val="20"/>
                <w:szCs w:val="20"/>
              </w:rPr>
              <w:t>涉稳定</w:t>
            </w:r>
            <w:proofErr w:type="gramEnd"/>
            <w:r w:rsidRPr="00CC526C">
              <w:rPr>
                <w:rFonts w:ascii="宋体" w:hAnsi="宋体" w:cs="宋体"/>
                <w:color w:val="000000"/>
                <w:sz w:val="20"/>
                <w:szCs w:val="20"/>
              </w:rPr>
              <w:t>等信息，并提供1名专职人员在宣传指导处驻点</w:t>
            </w:r>
            <w:r w:rsidRPr="00CC526C">
              <w:rPr>
                <w:rFonts w:ascii="宋体" w:hAnsi="宋体" w:cs="宋体" w:hint="eastAsia"/>
                <w:color w:val="000000"/>
                <w:sz w:val="20"/>
                <w:szCs w:val="20"/>
              </w:rPr>
              <w:t>，</w:t>
            </w:r>
            <w:proofErr w:type="gramStart"/>
            <w:r w:rsidRPr="00CC526C">
              <w:rPr>
                <w:rFonts w:ascii="宋体" w:hAnsi="宋体" w:cs="宋体" w:hint="eastAsia"/>
                <w:color w:val="000000"/>
                <w:sz w:val="20"/>
                <w:szCs w:val="20"/>
              </w:rPr>
              <w:t>全年全年</w:t>
            </w:r>
            <w:proofErr w:type="gramEnd"/>
            <w:r w:rsidRPr="00CC526C">
              <w:rPr>
                <w:rFonts w:ascii="宋体" w:hAnsi="宋体" w:cs="宋体" w:hint="eastAsia"/>
                <w:color w:val="000000"/>
                <w:sz w:val="20"/>
                <w:szCs w:val="20"/>
              </w:rPr>
              <w:t>共报送《政法网络舆情日报》250期、快报40期，提示相关单位处置苗头性信息2000余条</w:t>
            </w:r>
            <w:r w:rsidRPr="00CC526C">
              <w:rPr>
                <w:rFonts w:ascii="宋体" w:hAnsi="宋体" w:cs="宋体"/>
                <w:color w:val="000000"/>
                <w:sz w:val="20"/>
                <w:szCs w:val="20"/>
              </w:rPr>
              <w:t>。4.购买政法舆情态势分析，围绕涉国家政治安全、社会稳定等具体事件,开展全省政法网络舆情态势分析，提供季度、年度态势分析报告</w:t>
            </w:r>
            <w:r w:rsidRPr="00CC526C">
              <w:rPr>
                <w:rFonts w:ascii="宋体" w:hAnsi="宋体" w:cs="宋体" w:hint="eastAsia"/>
                <w:color w:val="000000"/>
                <w:sz w:val="20"/>
                <w:szCs w:val="20"/>
              </w:rPr>
              <w:t>共12期</w:t>
            </w:r>
            <w:r w:rsidRPr="00CC526C">
              <w:rPr>
                <w:rFonts w:ascii="宋体" w:hAnsi="宋体" w:cs="宋体"/>
                <w:color w:val="000000"/>
                <w:sz w:val="20"/>
                <w:szCs w:val="20"/>
              </w:rPr>
              <w:t>。</w:t>
            </w:r>
            <w:r w:rsidRPr="00CC526C">
              <w:rPr>
                <w:rFonts w:ascii="宋体" w:hAnsi="宋体" w:cs="宋体" w:hint="eastAsia"/>
                <w:color w:val="000000"/>
                <w:sz w:val="20"/>
                <w:szCs w:val="20"/>
              </w:rPr>
              <w:t>5</w:t>
            </w:r>
            <w:r w:rsidRPr="00CC526C">
              <w:rPr>
                <w:rFonts w:ascii="宋体" w:hAnsi="宋体" w:cs="宋体"/>
                <w:color w:val="000000"/>
                <w:sz w:val="20"/>
                <w:szCs w:val="20"/>
              </w:rPr>
              <w:t>.支付新</w:t>
            </w:r>
            <w:proofErr w:type="gramStart"/>
            <w:r w:rsidRPr="00CC526C">
              <w:rPr>
                <w:rFonts w:ascii="宋体" w:hAnsi="宋体" w:cs="宋体"/>
                <w:color w:val="000000"/>
                <w:sz w:val="20"/>
                <w:szCs w:val="20"/>
              </w:rPr>
              <w:t>媒体网</w:t>
            </w:r>
            <w:proofErr w:type="gramEnd"/>
            <w:r w:rsidRPr="00CC526C">
              <w:rPr>
                <w:rFonts w:ascii="宋体" w:hAnsi="宋体" w:cs="宋体"/>
                <w:color w:val="000000"/>
                <w:sz w:val="20"/>
                <w:szCs w:val="20"/>
              </w:rPr>
              <w:t>评员稿费</w:t>
            </w:r>
            <w:r w:rsidRPr="00CC526C">
              <w:rPr>
                <w:rFonts w:ascii="宋体" w:hAnsi="宋体" w:cs="宋体" w:hint="eastAsia"/>
                <w:color w:val="000000"/>
                <w:sz w:val="20"/>
                <w:szCs w:val="20"/>
              </w:rPr>
              <w:t>9万余元</w:t>
            </w:r>
            <w:r w:rsidRPr="00CC526C">
              <w:rPr>
                <w:rFonts w:ascii="宋体" w:hAnsi="宋体" w:cs="宋体"/>
                <w:color w:val="000000"/>
                <w:sz w:val="20"/>
                <w:szCs w:val="20"/>
              </w:rPr>
              <w:t>。</w:t>
            </w:r>
            <w:r w:rsidRPr="00CC526C">
              <w:rPr>
                <w:rFonts w:ascii="宋体" w:hAnsi="宋体" w:cs="宋体" w:hint="eastAsia"/>
                <w:color w:val="000000"/>
                <w:sz w:val="20"/>
                <w:szCs w:val="20"/>
              </w:rPr>
              <w:t>6</w:t>
            </w:r>
            <w:r w:rsidRPr="00CC526C">
              <w:rPr>
                <w:rFonts w:ascii="宋体" w:hAnsi="宋体" w:cs="宋体"/>
                <w:color w:val="000000"/>
                <w:sz w:val="20"/>
                <w:szCs w:val="20"/>
              </w:rPr>
              <w:t>.</w:t>
            </w:r>
            <w:r w:rsidRPr="00CC526C">
              <w:rPr>
                <w:rFonts w:ascii="宋体" w:hAnsi="宋体" w:cs="宋体" w:hint="eastAsia"/>
                <w:color w:val="000000"/>
                <w:sz w:val="20"/>
                <w:szCs w:val="20"/>
              </w:rPr>
              <w:t>开展</w:t>
            </w:r>
            <w:r w:rsidRPr="00CC526C">
              <w:rPr>
                <w:rFonts w:ascii="宋体" w:hAnsi="宋体" w:cs="宋体"/>
                <w:color w:val="000000"/>
                <w:sz w:val="20"/>
                <w:szCs w:val="20"/>
              </w:rPr>
              <w:t>第三届“平安中国看四川”</w:t>
            </w:r>
            <w:proofErr w:type="gramStart"/>
            <w:r w:rsidRPr="00CC526C">
              <w:rPr>
                <w:rFonts w:ascii="宋体" w:hAnsi="宋体" w:cs="宋体"/>
                <w:color w:val="000000"/>
                <w:sz w:val="20"/>
                <w:szCs w:val="20"/>
              </w:rPr>
              <w:t>微电影微</w:t>
            </w:r>
            <w:proofErr w:type="gramEnd"/>
            <w:r w:rsidRPr="00CC526C">
              <w:rPr>
                <w:rFonts w:ascii="宋体" w:hAnsi="宋体" w:cs="宋体"/>
                <w:color w:val="000000"/>
                <w:sz w:val="20"/>
                <w:szCs w:val="20"/>
              </w:rPr>
              <w:t>视频</w:t>
            </w:r>
            <w:proofErr w:type="gramStart"/>
            <w:r w:rsidRPr="00CC526C">
              <w:rPr>
                <w:rFonts w:ascii="宋体" w:hAnsi="宋体" w:cs="宋体"/>
                <w:color w:val="000000"/>
                <w:sz w:val="20"/>
                <w:szCs w:val="20"/>
              </w:rPr>
              <w:t>微动漫和政法</w:t>
            </w:r>
            <w:proofErr w:type="gramEnd"/>
            <w:r w:rsidRPr="00CC526C">
              <w:rPr>
                <w:rFonts w:ascii="宋体" w:hAnsi="宋体" w:cs="宋体"/>
                <w:color w:val="000000"/>
                <w:sz w:val="20"/>
                <w:szCs w:val="20"/>
              </w:rPr>
              <w:t>优秀新闻的评选与推广</w:t>
            </w:r>
            <w:r w:rsidRPr="00CC526C">
              <w:rPr>
                <w:rFonts w:ascii="宋体" w:hAnsi="宋体" w:cs="宋体" w:hint="eastAsia"/>
                <w:color w:val="000000"/>
                <w:sz w:val="20"/>
                <w:szCs w:val="20"/>
              </w:rPr>
              <w:t>2次</w:t>
            </w:r>
            <w:r w:rsidRPr="00CC526C">
              <w:rPr>
                <w:rFonts w:ascii="宋体" w:hAnsi="宋体" w:cs="宋体"/>
                <w:color w:val="000000"/>
                <w:sz w:val="20"/>
                <w:szCs w:val="20"/>
              </w:rPr>
              <w:t>，</w:t>
            </w:r>
            <w:r w:rsidRPr="00CC526C">
              <w:rPr>
                <w:rFonts w:ascii="宋体" w:hAnsi="宋体" w:cs="宋体" w:hint="eastAsia"/>
                <w:color w:val="000000"/>
                <w:sz w:val="20"/>
                <w:szCs w:val="20"/>
              </w:rPr>
              <w:t>完成</w:t>
            </w:r>
            <w:r w:rsidRPr="00CC526C">
              <w:rPr>
                <w:rFonts w:ascii="宋体" w:hAnsi="宋体" w:cs="宋体"/>
                <w:color w:val="000000"/>
                <w:sz w:val="20"/>
                <w:szCs w:val="20"/>
              </w:rPr>
              <w:t>评审费发放、证书制作</w:t>
            </w:r>
            <w:r w:rsidRPr="00CC526C">
              <w:rPr>
                <w:rFonts w:ascii="宋体" w:hAnsi="宋体" w:cs="宋体" w:hint="eastAsia"/>
                <w:color w:val="000000"/>
                <w:sz w:val="20"/>
                <w:szCs w:val="20"/>
              </w:rPr>
              <w:t>2次，</w:t>
            </w:r>
            <w:proofErr w:type="gramStart"/>
            <w:r w:rsidRPr="00CC526C">
              <w:rPr>
                <w:rFonts w:ascii="宋体" w:hAnsi="宋体" w:cs="宋体" w:hint="eastAsia"/>
                <w:color w:val="000000"/>
                <w:sz w:val="20"/>
                <w:szCs w:val="20"/>
              </w:rPr>
              <w:t>与抖音、</w:t>
            </w:r>
            <w:r w:rsidRPr="00CC526C">
              <w:rPr>
                <w:rFonts w:ascii="宋体" w:hAnsi="宋体" w:cs="宋体"/>
                <w:color w:val="000000"/>
                <w:sz w:val="20"/>
                <w:szCs w:val="20"/>
              </w:rPr>
              <w:t>腾讯</w:t>
            </w:r>
            <w:proofErr w:type="gramEnd"/>
            <w:r w:rsidRPr="00CC526C">
              <w:rPr>
                <w:rFonts w:ascii="宋体" w:hAnsi="宋体" w:cs="宋体"/>
                <w:color w:val="000000"/>
                <w:sz w:val="20"/>
                <w:szCs w:val="20"/>
              </w:rPr>
              <w:t>等平台合作，进行优秀作品展播</w:t>
            </w:r>
            <w:r w:rsidRPr="00CC526C">
              <w:rPr>
                <w:rFonts w:ascii="宋体" w:hAnsi="宋体" w:cs="宋体" w:hint="eastAsia"/>
                <w:color w:val="000000"/>
                <w:sz w:val="20"/>
                <w:szCs w:val="20"/>
              </w:rPr>
              <w:t>1次</w:t>
            </w:r>
            <w:r w:rsidRPr="00CC526C">
              <w:rPr>
                <w:rFonts w:ascii="宋体" w:hAnsi="宋体" w:cs="宋体"/>
                <w:color w:val="000000"/>
                <w:sz w:val="20"/>
                <w:szCs w:val="20"/>
              </w:rPr>
              <w:t>。</w:t>
            </w:r>
            <w:r w:rsidRPr="00CC526C">
              <w:rPr>
                <w:rFonts w:ascii="宋体" w:hAnsi="宋体" w:cs="宋体" w:hint="eastAsia"/>
                <w:color w:val="000000"/>
                <w:sz w:val="20"/>
                <w:szCs w:val="20"/>
              </w:rPr>
              <w:t>7.完成《四川政法》12期印刷费及编辑服务、稿费。</w:t>
            </w:r>
          </w:p>
        </w:tc>
      </w:tr>
      <w:tr w:rsidR="00B6583F" w:rsidTr="00061FA4">
        <w:trPr>
          <w:gridAfter w:val="1"/>
          <w:wAfter w:w="113" w:type="pct"/>
          <w:trHeight w:val="738"/>
        </w:trPr>
        <w:tc>
          <w:tcPr>
            <w:tcW w:w="1006" w:type="pct"/>
            <w:vMerge w:val="restart"/>
            <w:tcBorders>
              <w:top w:val="single" w:sz="4" w:space="0" w:color="000000"/>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年度绩效指标完成情况</w:t>
            </w:r>
          </w:p>
        </w:tc>
        <w:tc>
          <w:tcPr>
            <w:tcW w:w="579" w:type="pct"/>
            <w:tcBorders>
              <w:top w:val="single" w:sz="4" w:space="0" w:color="000000"/>
              <w:left w:val="nil"/>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一级</w:t>
            </w:r>
          </w:p>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指标</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二级</w:t>
            </w:r>
          </w:p>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指标</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三级</w:t>
            </w:r>
          </w:p>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指标</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预期指标值</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实际完成指标值</w:t>
            </w:r>
          </w:p>
        </w:tc>
      </w:tr>
      <w:tr w:rsidR="00B6583F" w:rsidTr="00061FA4">
        <w:trPr>
          <w:gridAfter w:val="1"/>
          <w:wAfter w:w="113" w:type="pct"/>
          <w:trHeight w:val="480"/>
        </w:trPr>
        <w:tc>
          <w:tcPr>
            <w:tcW w:w="1006" w:type="pct"/>
            <w:vMerge/>
            <w:tcBorders>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5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完成</w:t>
            </w:r>
          </w:p>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指标</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完成《四川政法》杂志编印</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12期</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12期</w:t>
            </w:r>
          </w:p>
        </w:tc>
      </w:tr>
      <w:tr w:rsidR="00B6583F" w:rsidTr="00061FA4">
        <w:trPr>
          <w:gridAfter w:val="1"/>
          <w:wAfter w:w="113" w:type="pct"/>
          <w:trHeight w:val="1290"/>
        </w:trPr>
        <w:tc>
          <w:tcPr>
            <w:tcW w:w="1006" w:type="pct"/>
            <w:vMerge/>
            <w:tcBorders>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5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677" w:type="pct"/>
            <w:tcBorders>
              <w:top w:val="single" w:sz="4" w:space="0" w:color="000000"/>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2" w:type="pct"/>
            <w:tcBorders>
              <w:top w:val="single" w:sz="4" w:space="0" w:color="000000"/>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与四川日报合作刊发政法盘点新媒体作品</w:t>
            </w:r>
          </w:p>
        </w:tc>
        <w:tc>
          <w:tcPr>
            <w:tcW w:w="832" w:type="pct"/>
            <w:gridSpan w:val="2"/>
            <w:tcBorders>
              <w:top w:val="single" w:sz="4" w:space="0" w:color="000000"/>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》3件</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5件</w:t>
            </w:r>
          </w:p>
        </w:tc>
      </w:tr>
      <w:tr w:rsidR="00B6583F" w:rsidTr="00061FA4">
        <w:trPr>
          <w:gridAfter w:val="1"/>
          <w:wAfter w:w="113" w:type="pct"/>
          <w:trHeight w:val="1290"/>
        </w:trPr>
        <w:tc>
          <w:tcPr>
            <w:tcW w:w="1006" w:type="pct"/>
            <w:vMerge/>
            <w:tcBorders>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5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677" w:type="pct"/>
            <w:tcBorders>
              <w:top w:val="single" w:sz="4" w:space="0" w:color="000000"/>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2" w:type="pct"/>
            <w:tcBorders>
              <w:top w:val="single" w:sz="4" w:space="0" w:color="000000"/>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FA69AC">
              <w:rPr>
                <w:rFonts w:ascii="宋体" w:hAnsi="宋体" w:cs="宋体" w:hint="eastAsia"/>
                <w:color w:val="000000"/>
                <w:sz w:val="20"/>
                <w:szCs w:val="20"/>
              </w:rPr>
              <w:t>与四川日报合作刊发政法盘点形象宣传类稿件</w:t>
            </w:r>
          </w:p>
        </w:tc>
        <w:tc>
          <w:tcPr>
            <w:tcW w:w="832" w:type="pct"/>
            <w:gridSpan w:val="2"/>
            <w:tcBorders>
              <w:top w:val="single" w:sz="4" w:space="0" w:color="000000"/>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FA69AC">
              <w:rPr>
                <w:rFonts w:ascii="宋体" w:hAnsi="宋体" w:cs="宋体" w:hint="eastAsia"/>
                <w:color w:val="000000"/>
                <w:sz w:val="20"/>
                <w:szCs w:val="20"/>
              </w:rPr>
              <w:t>》5件</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5件</w:t>
            </w:r>
          </w:p>
        </w:tc>
      </w:tr>
      <w:tr w:rsidR="00B6583F" w:rsidTr="00061FA4">
        <w:trPr>
          <w:gridAfter w:val="1"/>
          <w:wAfter w:w="113" w:type="pct"/>
          <w:trHeight w:val="696"/>
        </w:trPr>
        <w:tc>
          <w:tcPr>
            <w:tcW w:w="1006" w:type="pct"/>
            <w:vMerge/>
            <w:tcBorders>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5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677" w:type="pct"/>
            <w:tcBorders>
              <w:top w:val="single" w:sz="4" w:space="0" w:color="000000"/>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2" w:type="pct"/>
            <w:tcBorders>
              <w:top w:val="single" w:sz="4" w:space="0" w:color="000000"/>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围绕主题宣传制作</w:t>
            </w:r>
            <w:proofErr w:type="gramStart"/>
            <w:r w:rsidRPr="00CC526C">
              <w:rPr>
                <w:rFonts w:ascii="宋体" w:hAnsi="宋体" w:cs="宋体" w:hint="eastAsia"/>
                <w:color w:val="000000"/>
                <w:sz w:val="20"/>
                <w:szCs w:val="20"/>
              </w:rPr>
              <w:t>微电影</w:t>
            </w:r>
            <w:proofErr w:type="gramEnd"/>
          </w:p>
        </w:tc>
        <w:tc>
          <w:tcPr>
            <w:tcW w:w="832" w:type="pct"/>
            <w:gridSpan w:val="2"/>
            <w:tcBorders>
              <w:top w:val="single" w:sz="4" w:space="0" w:color="000000"/>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》1部</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1部</w:t>
            </w:r>
          </w:p>
        </w:tc>
      </w:tr>
      <w:tr w:rsidR="00B6583F" w:rsidTr="00061FA4">
        <w:trPr>
          <w:gridAfter w:val="1"/>
          <w:wAfter w:w="113" w:type="pct"/>
          <w:trHeight w:val="696"/>
        </w:trPr>
        <w:tc>
          <w:tcPr>
            <w:tcW w:w="1006" w:type="pct"/>
            <w:vMerge/>
            <w:tcBorders>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5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677" w:type="pct"/>
            <w:tcBorders>
              <w:top w:val="single" w:sz="4" w:space="0" w:color="000000"/>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2" w:type="pct"/>
            <w:tcBorders>
              <w:top w:val="single" w:sz="4" w:space="0" w:color="000000"/>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FA69AC">
              <w:rPr>
                <w:rFonts w:ascii="宋体" w:hAnsi="宋体" w:cs="宋体" w:hint="eastAsia"/>
                <w:color w:val="000000"/>
                <w:sz w:val="20"/>
                <w:szCs w:val="20"/>
              </w:rPr>
              <w:t>围绕主题宣传制作微视频</w:t>
            </w:r>
          </w:p>
        </w:tc>
        <w:tc>
          <w:tcPr>
            <w:tcW w:w="832" w:type="pct"/>
            <w:gridSpan w:val="2"/>
            <w:tcBorders>
              <w:top w:val="single" w:sz="4" w:space="0" w:color="000000"/>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FA69AC">
              <w:rPr>
                <w:rFonts w:ascii="宋体" w:hAnsi="宋体" w:cs="宋体" w:hint="eastAsia"/>
                <w:color w:val="000000"/>
                <w:sz w:val="20"/>
                <w:szCs w:val="20"/>
              </w:rPr>
              <w:t>》4部</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Pr>
                <w:rFonts w:ascii="宋体" w:hAnsi="宋体" w:cs="宋体" w:hint="eastAsia"/>
                <w:color w:val="000000"/>
                <w:sz w:val="20"/>
                <w:szCs w:val="20"/>
              </w:rPr>
              <w:t>4部</w:t>
            </w:r>
          </w:p>
        </w:tc>
      </w:tr>
      <w:tr w:rsidR="00B6583F" w:rsidTr="00061FA4">
        <w:trPr>
          <w:gridAfter w:val="1"/>
          <w:wAfter w:w="113" w:type="pct"/>
          <w:trHeight w:val="564"/>
        </w:trPr>
        <w:tc>
          <w:tcPr>
            <w:tcW w:w="1006" w:type="pct"/>
            <w:vMerge/>
            <w:tcBorders>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5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CC526C" w:rsidRDefault="00B6583F" w:rsidP="00E45355">
            <w:pPr>
              <w:widowControl/>
              <w:spacing w:line="320" w:lineRule="exact"/>
              <w:ind w:firstLineChars="100" w:firstLine="200"/>
              <w:jc w:val="left"/>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政法舆情态势分析报告</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》6件</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12件</w:t>
            </w:r>
          </w:p>
        </w:tc>
      </w:tr>
      <w:tr w:rsidR="00B6583F" w:rsidTr="00061FA4">
        <w:trPr>
          <w:gridAfter w:val="1"/>
          <w:wAfter w:w="113" w:type="pct"/>
          <w:trHeight w:val="1183"/>
        </w:trPr>
        <w:tc>
          <w:tcPr>
            <w:tcW w:w="1006" w:type="pct"/>
            <w:vMerge/>
            <w:tcBorders>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5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第三届“平安中国看四川”</w:t>
            </w:r>
            <w:proofErr w:type="gramStart"/>
            <w:r w:rsidRPr="00CC526C">
              <w:rPr>
                <w:rFonts w:ascii="宋体" w:hAnsi="宋体" w:cs="宋体" w:hint="eastAsia"/>
                <w:color w:val="000000"/>
                <w:sz w:val="20"/>
                <w:szCs w:val="20"/>
              </w:rPr>
              <w:t>微电影微</w:t>
            </w:r>
            <w:proofErr w:type="gramEnd"/>
            <w:r w:rsidRPr="00CC526C">
              <w:rPr>
                <w:rFonts w:ascii="宋体" w:hAnsi="宋体" w:cs="宋体" w:hint="eastAsia"/>
                <w:color w:val="000000"/>
                <w:sz w:val="20"/>
                <w:szCs w:val="20"/>
              </w:rPr>
              <w:t>视频</w:t>
            </w:r>
            <w:proofErr w:type="gramStart"/>
            <w:r w:rsidRPr="00CC526C">
              <w:rPr>
                <w:rFonts w:ascii="宋体" w:hAnsi="宋体" w:cs="宋体" w:hint="eastAsia"/>
                <w:color w:val="000000"/>
                <w:sz w:val="20"/>
                <w:szCs w:val="20"/>
              </w:rPr>
              <w:t>微动漫和政法</w:t>
            </w:r>
            <w:proofErr w:type="gramEnd"/>
            <w:r w:rsidRPr="00CC526C">
              <w:rPr>
                <w:rFonts w:ascii="宋体" w:hAnsi="宋体" w:cs="宋体" w:hint="eastAsia"/>
                <w:color w:val="000000"/>
                <w:sz w:val="20"/>
                <w:szCs w:val="20"/>
              </w:rPr>
              <w:t>优秀新闻的评选活动</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2次</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2次</w:t>
            </w:r>
          </w:p>
        </w:tc>
      </w:tr>
      <w:tr w:rsidR="00B6583F" w:rsidTr="00061FA4">
        <w:trPr>
          <w:gridAfter w:val="1"/>
          <w:wAfter w:w="113" w:type="pct"/>
          <w:trHeight w:val="480"/>
        </w:trPr>
        <w:tc>
          <w:tcPr>
            <w:tcW w:w="1006" w:type="pct"/>
            <w:vMerge/>
            <w:tcBorders>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5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第三届“平安中国看四川”</w:t>
            </w:r>
            <w:proofErr w:type="gramStart"/>
            <w:r w:rsidRPr="00CC526C">
              <w:rPr>
                <w:rFonts w:ascii="宋体" w:hAnsi="宋体" w:cs="宋体" w:hint="eastAsia"/>
                <w:color w:val="000000"/>
                <w:sz w:val="20"/>
                <w:szCs w:val="20"/>
              </w:rPr>
              <w:t>微电影微</w:t>
            </w:r>
            <w:proofErr w:type="gramEnd"/>
            <w:r w:rsidRPr="00CC526C">
              <w:rPr>
                <w:rFonts w:ascii="宋体" w:hAnsi="宋体" w:cs="宋体" w:hint="eastAsia"/>
                <w:color w:val="000000"/>
                <w:sz w:val="20"/>
                <w:szCs w:val="20"/>
              </w:rPr>
              <w:t>视频</w:t>
            </w:r>
            <w:proofErr w:type="gramStart"/>
            <w:r w:rsidRPr="00CC526C">
              <w:rPr>
                <w:rFonts w:ascii="宋体" w:hAnsi="宋体" w:cs="宋体" w:hint="eastAsia"/>
                <w:color w:val="000000"/>
                <w:sz w:val="20"/>
                <w:szCs w:val="20"/>
              </w:rPr>
              <w:t>微动漫和政法</w:t>
            </w:r>
            <w:proofErr w:type="gramEnd"/>
            <w:r w:rsidRPr="00CC526C">
              <w:rPr>
                <w:rFonts w:ascii="宋体" w:hAnsi="宋体" w:cs="宋体" w:hint="eastAsia"/>
                <w:color w:val="000000"/>
                <w:sz w:val="20"/>
                <w:szCs w:val="20"/>
              </w:rPr>
              <w:t>优秀新闻的评选与推广活动中与各大新媒体平台合作推广次数</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1次</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w:t>
            </w:r>
            <w:r>
              <w:rPr>
                <w:rFonts w:ascii="宋体" w:hAnsi="宋体" w:cs="宋体" w:hint="eastAsia"/>
                <w:color w:val="000000"/>
                <w:sz w:val="20"/>
                <w:szCs w:val="20"/>
              </w:rPr>
              <w:t>次</w:t>
            </w:r>
          </w:p>
        </w:tc>
      </w:tr>
      <w:tr w:rsidR="00B6583F" w:rsidTr="00061FA4">
        <w:trPr>
          <w:gridAfter w:val="1"/>
          <w:wAfter w:w="113" w:type="pct"/>
          <w:trHeight w:val="480"/>
        </w:trPr>
        <w:tc>
          <w:tcPr>
            <w:tcW w:w="1006" w:type="pct"/>
            <w:vMerge/>
            <w:tcBorders>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5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报送《政法网络舆情日报》</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》200期</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250期</w:t>
            </w:r>
          </w:p>
        </w:tc>
      </w:tr>
      <w:tr w:rsidR="00B6583F" w:rsidTr="00061FA4">
        <w:trPr>
          <w:gridAfter w:val="1"/>
          <w:wAfter w:w="113" w:type="pct"/>
          <w:trHeight w:val="480"/>
        </w:trPr>
        <w:tc>
          <w:tcPr>
            <w:tcW w:w="1006" w:type="pct"/>
            <w:vMerge/>
            <w:tcBorders>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57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时效指标</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各项宣传工作完成时效</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12月以前</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已完成</w:t>
            </w:r>
          </w:p>
        </w:tc>
      </w:tr>
      <w:tr w:rsidR="00B6583F" w:rsidTr="00061FA4">
        <w:trPr>
          <w:gridAfter w:val="1"/>
          <w:wAfter w:w="113" w:type="pct"/>
          <w:trHeight w:val="480"/>
        </w:trPr>
        <w:tc>
          <w:tcPr>
            <w:tcW w:w="1006" w:type="pct"/>
            <w:vMerge/>
            <w:tcBorders>
              <w:left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效益</w:t>
            </w:r>
            <w:r w:rsidRPr="00CC526C">
              <w:rPr>
                <w:rFonts w:ascii="宋体" w:hAnsi="宋体" w:cs="宋体" w:hint="eastAsia"/>
                <w:color w:val="000000"/>
                <w:sz w:val="20"/>
                <w:szCs w:val="20"/>
              </w:rPr>
              <w:br/>
              <w:t>指标</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社会效益指标</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大力推进政</w:t>
            </w:r>
            <w:proofErr w:type="gramStart"/>
            <w:r w:rsidRPr="00CC526C">
              <w:rPr>
                <w:rFonts w:ascii="宋体" w:hAnsi="宋体" w:cs="宋体" w:hint="eastAsia"/>
                <w:color w:val="000000"/>
                <w:sz w:val="20"/>
                <w:szCs w:val="20"/>
              </w:rPr>
              <w:t>法网军</w:t>
            </w:r>
            <w:proofErr w:type="gramEnd"/>
            <w:r w:rsidRPr="00CC526C">
              <w:rPr>
                <w:rFonts w:ascii="宋体" w:hAnsi="宋体" w:cs="宋体" w:hint="eastAsia"/>
                <w:color w:val="000000"/>
                <w:sz w:val="20"/>
                <w:szCs w:val="20"/>
              </w:rPr>
              <w:t>建设和政法新媒体创新发展</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建立</w:t>
            </w:r>
            <w:proofErr w:type="gramStart"/>
            <w:r w:rsidRPr="00CC526C">
              <w:rPr>
                <w:rFonts w:ascii="宋体" w:hAnsi="宋体" w:cs="宋体" w:hint="eastAsia"/>
                <w:color w:val="000000"/>
                <w:sz w:val="20"/>
                <w:szCs w:val="20"/>
              </w:rPr>
              <w:t>直属网军</w:t>
            </w:r>
            <w:proofErr w:type="gramEnd"/>
            <w:r w:rsidRPr="00CC526C">
              <w:rPr>
                <w:rFonts w:ascii="宋体" w:hAnsi="宋体" w:cs="宋体" w:hint="eastAsia"/>
                <w:color w:val="000000"/>
                <w:sz w:val="20"/>
                <w:szCs w:val="20"/>
              </w:rPr>
              <w:t>团队、专业团队、地方团队、</w:t>
            </w:r>
            <w:proofErr w:type="gramStart"/>
            <w:r w:rsidRPr="00CC526C">
              <w:rPr>
                <w:rFonts w:ascii="宋体" w:hAnsi="宋体" w:cs="宋体" w:hint="eastAsia"/>
                <w:color w:val="000000"/>
                <w:sz w:val="20"/>
                <w:szCs w:val="20"/>
              </w:rPr>
              <w:t>网红团队</w:t>
            </w:r>
            <w:proofErr w:type="gramEnd"/>
            <w:r w:rsidRPr="00CC526C">
              <w:rPr>
                <w:rFonts w:ascii="宋体" w:hAnsi="宋体" w:cs="宋体" w:hint="eastAsia"/>
                <w:color w:val="000000"/>
                <w:sz w:val="20"/>
                <w:szCs w:val="20"/>
              </w:rPr>
              <w:t>和外网团队</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已建立5支队伍，其中直属省委政法</w:t>
            </w:r>
            <w:proofErr w:type="gramStart"/>
            <w:r w:rsidRPr="00CC526C">
              <w:rPr>
                <w:rFonts w:ascii="宋体" w:hAnsi="宋体" w:cs="宋体" w:hint="eastAsia"/>
                <w:color w:val="000000"/>
                <w:sz w:val="20"/>
                <w:szCs w:val="20"/>
              </w:rPr>
              <w:t>委网军</w:t>
            </w:r>
            <w:proofErr w:type="gramEnd"/>
            <w:r w:rsidRPr="00CC526C">
              <w:rPr>
                <w:rFonts w:ascii="宋体" w:hAnsi="宋体" w:cs="宋体" w:hint="eastAsia"/>
                <w:color w:val="000000"/>
                <w:sz w:val="20"/>
                <w:szCs w:val="20"/>
              </w:rPr>
              <w:t>队伍60人</w:t>
            </w:r>
          </w:p>
        </w:tc>
      </w:tr>
      <w:tr w:rsidR="00B6583F" w:rsidTr="00061FA4">
        <w:trPr>
          <w:gridAfter w:val="1"/>
          <w:wAfter w:w="113" w:type="pct"/>
          <w:trHeight w:val="480"/>
        </w:trPr>
        <w:tc>
          <w:tcPr>
            <w:tcW w:w="1006" w:type="pct"/>
            <w:vMerge/>
            <w:tcBorders>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left"/>
              <w:textAlignment w:val="top"/>
              <w:rPr>
                <w:rFonts w:ascii="宋体" w:hAnsi="宋体" w:cs="宋体"/>
                <w:color w:val="000000"/>
                <w:sz w:val="20"/>
                <w:szCs w:val="20"/>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CC526C" w:rsidRDefault="00B6583F" w:rsidP="00E45355">
            <w:pPr>
              <w:widowControl/>
              <w:spacing w:line="320" w:lineRule="exact"/>
              <w:jc w:val="left"/>
              <w:textAlignment w:val="top"/>
              <w:rPr>
                <w:rFonts w:ascii="宋体" w:hAnsi="宋体" w:cs="宋体"/>
                <w:color w:val="000000"/>
                <w:sz w:val="20"/>
                <w:szCs w:val="20"/>
              </w:rPr>
            </w:pPr>
            <w:proofErr w:type="gramStart"/>
            <w:r w:rsidRPr="00CC526C">
              <w:rPr>
                <w:rFonts w:ascii="宋体" w:hAnsi="宋体" w:cs="宋体" w:hint="eastAsia"/>
                <w:color w:val="000000"/>
                <w:sz w:val="20"/>
                <w:szCs w:val="20"/>
              </w:rPr>
              <w:t>满意</w:t>
            </w:r>
            <w:proofErr w:type="gramEnd"/>
            <w:r w:rsidRPr="00CC526C">
              <w:rPr>
                <w:rFonts w:ascii="宋体" w:hAnsi="宋体" w:cs="宋体" w:hint="eastAsia"/>
                <w:color w:val="000000"/>
                <w:sz w:val="20"/>
                <w:szCs w:val="20"/>
              </w:rPr>
              <w:br/>
              <w:t>度指标</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满意度</w:t>
            </w:r>
          </w:p>
          <w:p w:rsidR="00B6583F" w:rsidRPr="00CC526C" w:rsidRDefault="00B6583F" w:rsidP="00E453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指标</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服务对象满意度</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服务对象满意度96%以上</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3F" w:rsidRPr="00CC526C" w:rsidRDefault="00B6583F" w:rsidP="00E453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96%</w:t>
            </w:r>
          </w:p>
        </w:tc>
      </w:tr>
    </w:tbl>
    <w:p w:rsidR="00B6583F" w:rsidRDefault="00B6583F" w:rsidP="00B6583F">
      <w:pPr>
        <w:widowControl/>
        <w:spacing w:line="320" w:lineRule="exact"/>
        <w:jc w:val="center"/>
        <w:textAlignment w:val="top"/>
        <w:rPr>
          <w:rFonts w:ascii="宋体" w:hAnsi="宋体" w:cs="宋体"/>
          <w:color w:val="000000"/>
          <w:sz w:val="20"/>
          <w:szCs w:val="20"/>
        </w:rPr>
      </w:pPr>
    </w:p>
    <w:p w:rsidR="00B6583F" w:rsidRDefault="00B6583F" w:rsidP="00B6583F">
      <w:pPr>
        <w:spacing w:line="600" w:lineRule="exact"/>
        <w:ind w:right="-23" w:firstLineChars="200" w:firstLine="444"/>
        <w:jc w:val="center"/>
        <w:rPr>
          <w:spacing w:val="6"/>
          <w:szCs w:val="32"/>
        </w:rPr>
      </w:pPr>
    </w:p>
    <w:p w:rsidR="00B6583F" w:rsidRDefault="00B6583F" w:rsidP="00061FA4">
      <w:pPr>
        <w:spacing w:line="600" w:lineRule="exact"/>
        <w:ind w:right="-23"/>
        <w:rPr>
          <w:spacing w:val="6"/>
          <w:szCs w:val="32"/>
        </w:rPr>
      </w:pPr>
    </w:p>
    <w:p w:rsidR="00B6583F" w:rsidRPr="000F119A" w:rsidRDefault="00B6583F" w:rsidP="00B6583F">
      <w:pPr>
        <w:pStyle w:val="a0"/>
        <w:spacing w:before="93"/>
      </w:pPr>
    </w:p>
    <w:p w:rsidR="00B6583F" w:rsidRDefault="00B6583F" w:rsidP="00B6583F">
      <w:pPr>
        <w:spacing w:line="240" w:lineRule="exact"/>
        <w:ind w:right="-23" w:firstLineChars="200" w:firstLine="444"/>
        <w:jc w:val="center"/>
        <w:rPr>
          <w:spacing w:val="6"/>
          <w:szCs w:val="32"/>
        </w:rPr>
      </w:pPr>
    </w:p>
    <w:p w:rsidR="00061FA4" w:rsidRDefault="00061FA4" w:rsidP="00061FA4">
      <w:pPr>
        <w:pStyle w:val="a0"/>
        <w:spacing w:before="93"/>
      </w:pPr>
    </w:p>
    <w:p w:rsidR="00061FA4" w:rsidRPr="00061FA4" w:rsidRDefault="00061FA4" w:rsidP="00061FA4">
      <w:pPr>
        <w:pStyle w:val="a0"/>
        <w:spacing w:before="93"/>
      </w:pPr>
    </w:p>
    <w:p w:rsidR="00E6420A" w:rsidRDefault="005360AC">
      <w:pPr>
        <w:spacing w:line="600" w:lineRule="exact"/>
        <w:jc w:val="center"/>
        <w:outlineLvl w:val="0"/>
        <w:rPr>
          <w:rFonts w:ascii="仿宋" w:eastAsia="仿宋" w:hAnsi="仿宋"/>
          <w:color w:val="000000"/>
        </w:rPr>
      </w:pPr>
      <w:bookmarkStart w:id="53"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Start w:id="54" w:name="_Toc15396619"/>
      <w:bookmarkEnd w:id="52"/>
      <w:bookmarkEnd w:id="53"/>
    </w:p>
    <w:p w:rsidR="00E6420A" w:rsidRDefault="005360AC">
      <w:pPr>
        <w:pStyle w:val="2"/>
        <w:rPr>
          <w:rFonts w:ascii="仿宋" w:eastAsia="仿宋" w:hAnsi="仿宋"/>
          <w:color w:val="000000"/>
        </w:rPr>
      </w:pPr>
      <w:r>
        <w:rPr>
          <w:rFonts w:ascii="仿宋" w:eastAsia="仿宋" w:hAnsi="仿宋" w:hint="eastAsia"/>
          <w:b w:val="0"/>
          <w:color w:val="000000"/>
        </w:rPr>
        <w:lastRenderedPageBreak/>
        <w:t>一、收</w:t>
      </w:r>
      <w:r>
        <w:rPr>
          <w:rStyle w:val="2Char"/>
          <w:rFonts w:ascii="仿宋" w:eastAsia="仿宋" w:hAnsi="仿宋" w:hint="eastAsia"/>
        </w:rPr>
        <w:t>入支出决算总表</w:t>
      </w:r>
      <w:bookmarkEnd w:id="54"/>
    </w:p>
    <w:p w:rsidR="00E6420A" w:rsidRDefault="005360AC">
      <w:pPr>
        <w:pStyle w:val="2"/>
        <w:rPr>
          <w:rFonts w:ascii="仿宋" w:eastAsia="仿宋" w:hAnsi="仿宋"/>
          <w:color w:val="000000"/>
        </w:rPr>
      </w:pPr>
      <w:bookmarkStart w:id="55" w:name="_Toc15396620"/>
      <w:r>
        <w:rPr>
          <w:rFonts w:ascii="仿宋" w:eastAsia="仿宋" w:hAnsi="仿宋" w:hint="eastAsia"/>
          <w:b w:val="0"/>
          <w:color w:val="000000"/>
        </w:rPr>
        <w:t>二、收</w:t>
      </w:r>
      <w:r>
        <w:rPr>
          <w:rStyle w:val="2Char"/>
          <w:rFonts w:ascii="仿宋" w:eastAsia="仿宋" w:hAnsi="仿宋" w:hint="eastAsia"/>
        </w:rPr>
        <w:t>入决算表</w:t>
      </w:r>
      <w:bookmarkEnd w:id="55"/>
    </w:p>
    <w:p w:rsidR="00E6420A" w:rsidRDefault="005360AC">
      <w:pPr>
        <w:pStyle w:val="2"/>
        <w:rPr>
          <w:rFonts w:ascii="仿宋" w:eastAsia="仿宋" w:hAnsi="仿宋"/>
          <w:color w:val="000000"/>
        </w:rPr>
      </w:pPr>
      <w:bookmarkStart w:id="56"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6"/>
    </w:p>
    <w:p w:rsidR="00E6420A" w:rsidRDefault="005360AC">
      <w:pPr>
        <w:pStyle w:val="2"/>
        <w:rPr>
          <w:rFonts w:ascii="仿宋" w:eastAsia="仿宋" w:hAnsi="仿宋"/>
          <w:b w:val="0"/>
          <w:color w:val="000000"/>
        </w:rPr>
      </w:pPr>
      <w:bookmarkStart w:id="57"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7"/>
    </w:p>
    <w:p w:rsidR="00E6420A" w:rsidRDefault="005360AC">
      <w:pPr>
        <w:pStyle w:val="2"/>
        <w:rPr>
          <w:rStyle w:val="2Char"/>
          <w:rFonts w:ascii="仿宋" w:eastAsia="仿宋" w:hAnsi="仿宋"/>
        </w:rPr>
      </w:pPr>
      <w:bookmarkStart w:id="58"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59" w:name="_Toc15396624"/>
      <w:bookmarkEnd w:id="58"/>
    </w:p>
    <w:p w:rsidR="00E6420A" w:rsidRDefault="005360AC">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59"/>
    </w:p>
    <w:p w:rsidR="00E6420A" w:rsidRDefault="005360AC">
      <w:pPr>
        <w:pStyle w:val="2"/>
        <w:rPr>
          <w:rFonts w:ascii="仿宋" w:eastAsia="仿宋" w:hAnsi="仿宋"/>
          <w:color w:val="000000"/>
        </w:rPr>
      </w:pPr>
      <w:bookmarkStart w:id="60"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0"/>
    </w:p>
    <w:p w:rsidR="00E6420A" w:rsidRDefault="005360AC">
      <w:pPr>
        <w:pStyle w:val="2"/>
        <w:rPr>
          <w:rFonts w:ascii="仿宋" w:eastAsia="仿宋" w:hAnsi="仿宋"/>
          <w:color w:val="000000"/>
        </w:rPr>
      </w:pPr>
      <w:bookmarkStart w:id="61"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1"/>
    </w:p>
    <w:p w:rsidR="00E6420A" w:rsidRDefault="005360AC">
      <w:pPr>
        <w:pStyle w:val="2"/>
        <w:rPr>
          <w:rFonts w:ascii="仿宋" w:eastAsia="仿宋" w:hAnsi="仿宋"/>
          <w:color w:val="000000"/>
        </w:rPr>
      </w:pPr>
      <w:bookmarkStart w:id="62"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2"/>
    </w:p>
    <w:p w:rsidR="00E6420A" w:rsidRDefault="005360AC">
      <w:pPr>
        <w:pStyle w:val="2"/>
        <w:rPr>
          <w:rFonts w:ascii="仿宋" w:eastAsia="仿宋" w:hAnsi="仿宋"/>
          <w:color w:val="000000"/>
        </w:rPr>
      </w:pPr>
      <w:bookmarkStart w:id="63"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3"/>
    </w:p>
    <w:p w:rsidR="00E6420A" w:rsidRDefault="005360AC">
      <w:pPr>
        <w:pStyle w:val="2"/>
        <w:rPr>
          <w:rFonts w:ascii="仿宋" w:eastAsia="仿宋" w:hAnsi="仿宋"/>
          <w:color w:val="000000"/>
        </w:rPr>
      </w:pPr>
      <w:bookmarkStart w:id="64"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4"/>
    </w:p>
    <w:p w:rsidR="00E6420A" w:rsidRDefault="005360AC">
      <w:pPr>
        <w:pStyle w:val="2"/>
        <w:rPr>
          <w:rFonts w:ascii="仿宋" w:eastAsia="仿宋" w:hAnsi="仿宋"/>
          <w:color w:val="000000"/>
        </w:rPr>
      </w:pPr>
      <w:bookmarkStart w:id="65"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5"/>
    </w:p>
    <w:p w:rsidR="00E6420A" w:rsidRDefault="005360AC">
      <w:pPr>
        <w:pStyle w:val="2"/>
        <w:rPr>
          <w:rStyle w:val="2Char"/>
          <w:rFonts w:ascii="仿宋" w:eastAsia="仿宋" w:hAnsi="仿宋"/>
        </w:rPr>
      </w:pPr>
      <w:bookmarkStart w:id="66"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66"/>
    </w:p>
    <w:p w:rsidR="00E6420A" w:rsidRDefault="005360AC">
      <w:pPr>
        <w:rPr>
          <w:rFonts w:eastAsia="仿宋"/>
        </w:rPr>
      </w:pPr>
      <w:r>
        <w:rPr>
          <w:rStyle w:val="2Char"/>
          <w:rFonts w:ascii="仿宋" w:eastAsia="仿宋" w:hAnsi="仿宋" w:hint="eastAsia"/>
          <w:b w:val="0"/>
          <w:bCs w:val="0"/>
        </w:rPr>
        <w:t>十四、国有资本经营预算财政拨款支出决算表</w:t>
      </w:r>
    </w:p>
    <w:sectPr w:rsidR="00E6420A" w:rsidSect="00E6420A">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F01" w:rsidRDefault="00E57F01" w:rsidP="00E6420A">
      <w:r>
        <w:separator/>
      </w:r>
    </w:p>
  </w:endnote>
  <w:endnote w:type="continuationSeparator" w:id="0">
    <w:p w:rsidR="00E57F01" w:rsidRDefault="00E57F01" w:rsidP="00E64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E37ED8" w:rsidRDefault="004D3B65">
        <w:pPr>
          <w:pStyle w:val="a5"/>
          <w:jc w:val="center"/>
        </w:pPr>
        <w:fldSimple w:instr="PAGE   \* MERGEFORMAT">
          <w:r w:rsidR="0064632F" w:rsidRPr="0064632F">
            <w:rPr>
              <w:noProof/>
              <w:lang w:val="zh-CN"/>
            </w:rPr>
            <w:t>11</w:t>
          </w:r>
        </w:fldSimple>
      </w:p>
    </w:sdtContent>
  </w:sdt>
  <w:p w:rsidR="00E37ED8" w:rsidRDefault="00E37E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F01" w:rsidRDefault="00E57F01" w:rsidP="00E6420A">
      <w:r>
        <w:separator/>
      </w:r>
    </w:p>
  </w:footnote>
  <w:footnote w:type="continuationSeparator" w:id="0">
    <w:p w:rsidR="00E57F01" w:rsidRDefault="00E57F01" w:rsidP="00E64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D8" w:rsidRDefault="00E37ED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4D797F"/>
    <w:multiLevelType w:val="singleLevel"/>
    <w:tmpl w:val="C64D797F"/>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nsid w:val="FBCB5F45"/>
    <w:multiLevelType w:val="singleLevel"/>
    <w:tmpl w:val="FBCB5F45"/>
    <w:lvl w:ilvl="0">
      <w:start w:val="1"/>
      <w:numFmt w:val="decimal"/>
      <w:lvlText w:val="%1."/>
      <w:lvlJc w:val="left"/>
      <w:pPr>
        <w:tabs>
          <w:tab w:val="left" w:pos="312"/>
        </w:tabs>
      </w:pPr>
    </w:lvl>
  </w:abstractNum>
  <w:abstractNum w:abstractNumId="4">
    <w:nsid w:val="0C1F313D"/>
    <w:multiLevelType w:val="singleLevel"/>
    <w:tmpl w:val="3064A595"/>
    <w:lvl w:ilvl="0">
      <w:start w:val="1"/>
      <w:numFmt w:val="chineseCounting"/>
      <w:suff w:val="nothing"/>
      <w:lvlText w:val="%1、"/>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29247747"/>
    <w:multiLevelType w:val="singleLevel"/>
    <w:tmpl w:val="3064A595"/>
    <w:lvl w:ilvl="0">
      <w:start w:val="1"/>
      <w:numFmt w:val="chineseCounting"/>
      <w:suff w:val="nothing"/>
      <w:lvlText w:val="%1、"/>
      <w:lvlJc w:val="left"/>
      <w:rPr>
        <w:rFonts w:hint="eastAsia"/>
      </w:rPr>
    </w:lvl>
  </w:abstractNum>
  <w:abstractNum w:abstractNumId="7">
    <w:nsid w:val="3064A595"/>
    <w:multiLevelType w:val="singleLevel"/>
    <w:tmpl w:val="3064A595"/>
    <w:lvl w:ilvl="0">
      <w:start w:val="1"/>
      <w:numFmt w:val="chineseCounting"/>
      <w:suff w:val="nothing"/>
      <w:lvlText w:val="%1、"/>
      <w:lvlJc w:val="left"/>
      <w:rPr>
        <w:rFonts w:hint="eastAsia"/>
      </w:rPr>
    </w:lvl>
  </w:abstractNum>
  <w:abstractNum w:abstractNumId="8">
    <w:nsid w:val="45062CC8"/>
    <w:multiLevelType w:val="singleLevel"/>
    <w:tmpl w:val="3064A595"/>
    <w:lvl w:ilvl="0">
      <w:start w:val="1"/>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0"/>
  </w:num>
  <w:num w:numId="2">
    <w:abstractNumId w:val="5"/>
  </w:num>
  <w:num w:numId="3">
    <w:abstractNumId w:val="1"/>
  </w:num>
  <w:num w:numId="4">
    <w:abstractNumId w:val="2"/>
  </w:num>
  <w:num w:numId="5">
    <w:abstractNumId w:val="9"/>
  </w:num>
  <w:num w:numId="6">
    <w:abstractNumId w:val="7"/>
  </w:num>
  <w:num w:numId="7">
    <w:abstractNumId w:val="3"/>
  </w:num>
  <w:num w:numId="8">
    <w:abstractNumId w:val="8"/>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762B"/>
    <w:rsid w:val="00020877"/>
    <w:rsid w:val="000222C6"/>
    <w:rsid w:val="00024025"/>
    <w:rsid w:val="0002549F"/>
    <w:rsid w:val="000427C1"/>
    <w:rsid w:val="000468DB"/>
    <w:rsid w:val="00054D28"/>
    <w:rsid w:val="00061FA4"/>
    <w:rsid w:val="0006487A"/>
    <w:rsid w:val="00065F8F"/>
    <w:rsid w:val="00070A43"/>
    <w:rsid w:val="000768F2"/>
    <w:rsid w:val="00080B39"/>
    <w:rsid w:val="0009184B"/>
    <w:rsid w:val="000940B4"/>
    <w:rsid w:val="00094236"/>
    <w:rsid w:val="000947F1"/>
    <w:rsid w:val="0009593C"/>
    <w:rsid w:val="00097322"/>
    <w:rsid w:val="000A571D"/>
    <w:rsid w:val="000A6A92"/>
    <w:rsid w:val="000B047F"/>
    <w:rsid w:val="000B5923"/>
    <w:rsid w:val="000B5A48"/>
    <w:rsid w:val="000B6FF3"/>
    <w:rsid w:val="000C3467"/>
    <w:rsid w:val="000C3CA6"/>
    <w:rsid w:val="000C7224"/>
    <w:rsid w:val="000D1267"/>
    <w:rsid w:val="000D1D50"/>
    <w:rsid w:val="000D5782"/>
    <w:rsid w:val="000E6613"/>
    <w:rsid w:val="000E7119"/>
    <w:rsid w:val="000F6A80"/>
    <w:rsid w:val="001047DF"/>
    <w:rsid w:val="00107705"/>
    <w:rsid w:val="00114E9B"/>
    <w:rsid w:val="00120F0E"/>
    <w:rsid w:val="001301D4"/>
    <w:rsid w:val="00136B21"/>
    <w:rsid w:val="00142216"/>
    <w:rsid w:val="00144D6A"/>
    <w:rsid w:val="0014729F"/>
    <w:rsid w:val="00151E6E"/>
    <w:rsid w:val="00157BAB"/>
    <w:rsid w:val="00161A14"/>
    <w:rsid w:val="0016369F"/>
    <w:rsid w:val="001654D1"/>
    <w:rsid w:val="00174518"/>
    <w:rsid w:val="001800F2"/>
    <w:rsid w:val="0018106D"/>
    <w:rsid w:val="00184A16"/>
    <w:rsid w:val="001859AA"/>
    <w:rsid w:val="001877A7"/>
    <w:rsid w:val="00191536"/>
    <w:rsid w:val="00196687"/>
    <w:rsid w:val="001A321C"/>
    <w:rsid w:val="001C03C2"/>
    <w:rsid w:val="001C0962"/>
    <w:rsid w:val="001D7531"/>
    <w:rsid w:val="001D7621"/>
    <w:rsid w:val="001E737D"/>
    <w:rsid w:val="001F0592"/>
    <w:rsid w:val="001F4535"/>
    <w:rsid w:val="001F5686"/>
    <w:rsid w:val="001F7506"/>
    <w:rsid w:val="002006CD"/>
    <w:rsid w:val="00202B36"/>
    <w:rsid w:val="00204B7A"/>
    <w:rsid w:val="00204CDE"/>
    <w:rsid w:val="00204FF4"/>
    <w:rsid w:val="00210B25"/>
    <w:rsid w:val="0021101A"/>
    <w:rsid w:val="0021376E"/>
    <w:rsid w:val="002148BB"/>
    <w:rsid w:val="00215976"/>
    <w:rsid w:val="00220536"/>
    <w:rsid w:val="00235629"/>
    <w:rsid w:val="002364C5"/>
    <w:rsid w:val="00260C38"/>
    <w:rsid w:val="002616C0"/>
    <w:rsid w:val="00265372"/>
    <w:rsid w:val="002662AA"/>
    <w:rsid w:val="00276EBA"/>
    <w:rsid w:val="00280496"/>
    <w:rsid w:val="002868D9"/>
    <w:rsid w:val="00290CA1"/>
    <w:rsid w:val="00294DC9"/>
    <w:rsid w:val="00295495"/>
    <w:rsid w:val="002A31DE"/>
    <w:rsid w:val="002B2613"/>
    <w:rsid w:val="002C0280"/>
    <w:rsid w:val="002D56B3"/>
    <w:rsid w:val="002D5A98"/>
    <w:rsid w:val="002D6D05"/>
    <w:rsid w:val="002F1818"/>
    <w:rsid w:val="002F567B"/>
    <w:rsid w:val="00306758"/>
    <w:rsid w:val="003216A9"/>
    <w:rsid w:val="00322685"/>
    <w:rsid w:val="00335A74"/>
    <w:rsid w:val="00361190"/>
    <w:rsid w:val="0036447F"/>
    <w:rsid w:val="0036561B"/>
    <w:rsid w:val="0037013F"/>
    <w:rsid w:val="00370AB1"/>
    <w:rsid w:val="00372372"/>
    <w:rsid w:val="003752DF"/>
    <w:rsid w:val="00380C92"/>
    <w:rsid w:val="00381034"/>
    <w:rsid w:val="003A0B8C"/>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08F2"/>
    <w:rsid w:val="004223DE"/>
    <w:rsid w:val="0042377F"/>
    <w:rsid w:val="004248C8"/>
    <w:rsid w:val="00434489"/>
    <w:rsid w:val="00437085"/>
    <w:rsid w:val="00443880"/>
    <w:rsid w:val="004464F4"/>
    <w:rsid w:val="004533FE"/>
    <w:rsid w:val="00471401"/>
    <w:rsid w:val="00471F44"/>
    <w:rsid w:val="00473F31"/>
    <w:rsid w:val="0048263A"/>
    <w:rsid w:val="00487E5D"/>
    <w:rsid w:val="004A711F"/>
    <w:rsid w:val="004B199D"/>
    <w:rsid w:val="004B3B02"/>
    <w:rsid w:val="004B4690"/>
    <w:rsid w:val="004B7678"/>
    <w:rsid w:val="004D08C7"/>
    <w:rsid w:val="004D3B65"/>
    <w:rsid w:val="004E0A2D"/>
    <w:rsid w:val="004E206B"/>
    <w:rsid w:val="004E6DF7"/>
    <w:rsid w:val="004F0FBD"/>
    <w:rsid w:val="004F2680"/>
    <w:rsid w:val="004F40A5"/>
    <w:rsid w:val="00501C93"/>
    <w:rsid w:val="00505A47"/>
    <w:rsid w:val="00512FDA"/>
    <w:rsid w:val="00520DA0"/>
    <w:rsid w:val="005360AC"/>
    <w:rsid w:val="005656CD"/>
    <w:rsid w:val="005664BB"/>
    <w:rsid w:val="00566FFA"/>
    <w:rsid w:val="0057481D"/>
    <w:rsid w:val="0058486E"/>
    <w:rsid w:val="00585B33"/>
    <w:rsid w:val="0059014D"/>
    <w:rsid w:val="00591384"/>
    <w:rsid w:val="00597085"/>
    <w:rsid w:val="00597971"/>
    <w:rsid w:val="005A09FB"/>
    <w:rsid w:val="005B2686"/>
    <w:rsid w:val="005B4216"/>
    <w:rsid w:val="005B5C64"/>
    <w:rsid w:val="005C5337"/>
    <w:rsid w:val="005C6BD0"/>
    <w:rsid w:val="005D1C8B"/>
    <w:rsid w:val="005D468D"/>
    <w:rsid w:val="005D5CED"/>
    <w:rsid w:val="005E30C2"/>
    <w:rsid w:val="005F1A4C"/>
    <w:rsid w:val="00605688"/>
    <w:rsid w:val="006070AF"/>
    <w:rsid w:val="00607E6C"/>
    <w:rsid w:val="006101B1"/>
    <w:rsid w:val="00611D50"/>
    <w:rsid w:val="006147E2"/>
    <w:rsid w:val="00614E44"/>
    <w:rsid w:val="00616528"/>
    <w:rsid w:val="0062270A"/>
    <w:rsid w:val="00622830"/>
    <w:rsid w:val="00623DA0"/>
    <w:rsid w:val="00630AEF"/>
    <w:rsid w:val="006325F8"/>
    <w:rsid w:val="00633463"/>
    <w:rsid w:val="00634C9A"/>
    <w:rsid w:val="006440E4"/>
    <w:rsid w:val="0064632F"/>
    <w:rsid w:val="006578E0"/>
    <w:rsid w:val="0066343B"/>
    <w:rsid w:val="00664777"/>
    <w:rsid w:val="006748A4"/>
    <w:rsid w:val="00681A31"/>
    <w:rsid w:val="00681EA2"/>
    <w:rsid w:val="00683E73"/>
    <w:rsid w:val="006A3141"/>
    <w:rsid w:val="006A5E34"/>
    <w:rsid w:val="006A5EE1"/>
    <w:rsid w:val="006B2422"/>
    <w:rsid w:val="006B2B9A"/>
    <w:rsid w:val="006C1937"/>
    <w:rsid w:val="006C7209"/>
    <w:rsid w:val="006F020C"/>
    <w:rsid w:val="006F0427"/>
    <w:rsid w:val="006F4014"/>
    <w:rsid w:val="00704048"/>
    <w:rsid w:val="0071219E"/>
    <w:rsid w:val="007127B7"/>
    <w:rsid w:val="00716D27"/>
    <w:rsid w:val="00717484"/>
    <w:rsid w:val="0071798E"/>
    <w:rsid w:val="00725356"/>
    <w:rsid w:val="00726A56"/>
    <w:rsid w:val="007377A1"/>
    <w:rsid w:val="007416B6"/>
    <w:rsid w:val="00746F48"/>
    <w:rsid w:val="0075404D"/>
    <w:rsid w:val="00756A58"/>
    <w:rsid w:val="0076182A"/>
    <w:rsid w:val="0076408D"/>
    <w:rsid w:val="00767B7E"/>
    <w:rsid w:val="007770C3"/>
    <w:rsid w:val="00784D24"/>
    <w:rsid w:val="00785FBA"/>
    <w:rsid w:val="00786E4A"/>
    <w:rsid w:val="007875EB"/>
    <w:rsid w:val="0079287B"/>
    <w:rsid w:val="0079426B"/>
    <w:rsid w:val="007A5234"/>
    <w:rsid w:val="007B3DB2"/>
    <w:rsid w:val="007D1682"/>
    <w:rsid w:val="007D312A"/>
    <w:rsid w:val="007D3F19"/>
    <w:rsid w:val="007D71C8"/>
    <w:rsid w:val="007E23B0"/>
    <w:rsid w:val="007E23E5"/>
    <w:rsid w:val="007F181E"/>
    <w:rsid w:val="007F1991"/>
    <w:rsid w:val="007F2C2F"/>
    <w:rsid w:val="007F55FC"/>
    <w:rsid w:val="007F5665"/>
    <w:rsid w:val="00800112"/>
    <w:rsid w:val="00801B10"/>
    <w:rsid w:val="00813348"/>
    <w:rsid w:val="008253BB"/>
    <w:rsid w:val="0082681D"/>
    <w:rsid w:val="0083706E"/>
    <w:rsid w:val="008378FE"/>
    <w:rsid w:val="008408F6"/>
    <w:rsid w:val="008423A5"/>
    <w:rsid w:val="00850625"/>
    <w:rsid w:val="00853718"/>
    <w:rsid w:val="00855221"/>
    <w:rsid w:val="00856992"/>
    <w:rsid w:val="00860645"/>
    <w:rsid w:val="00867BB8"/>
    <w:rsid w:val="00871F71"/>
    <w:rsid w:val="00872FD8"/>
    <w:rsid w:val="00884129"/>
    <w:rsid w:val="00885AF4"/>
    <w:rsid w:val="008939CD"/>
    <w:rsid w:val="008A6CE8"/>
    <w:rsid w:val="008B2190"/>
    <w:rsid w:val="008B768C"/>
    <w:rsid w:val="008C4DB1"/>
    <w:rsid w:val="008C4EAF"/>
    <w:rsid w:val="008C5176"/>
    <w:rsid w:val="008C7FD0"/>
    <w:rsid w:val="008E1DE7"/>
    <w:rsid w:val="008E707C"/>
    <w:rsid w:val="008F5B80"/>
    <w:rsid w:val="008F7651"/>
    <w:rsid w:val="008F790D"/>
    <w:rsid w:val="00900B08"/>
    <w:rsid w:val="00900D8B"/>
    <w:rsid w:val="00901A85"/>
    <w:rsid w:val="00902155"/>
    <w:rsid w:val="00902FA3"/>
    <w:rsid w:val="00923564"/>
    <w:rsid w:val="0092392E"/>
    <w:rsid w:val="009315F9"/>
    <w:rsid w:val="00933499"/>
    <w:rsid w:val="00935C98"/>
    <w:rsid w:val="00937149"/>
    <w:rsid w:val="00940E5E"/>
    <w:rsid w:val="00946945"/>
    <w:rsid w:val="00947538"/>
    <w:rsid w:val="00947C1D"/>
    <w:rsid w:val="00951248"/>
    <w:rsid w:val="0095152F"/>
    <w:rsid w:val="00954C49"/>
    <w:rsid w:val="00955E37"/>
    <w:rsid w:val="009560FD"/>
    <w:rsid w:val="009563E6"/>
    <w:rsid w:val="0097099F"/>
    <w:rsid w:val="00971997"/>
    <w:rsid w:val="00971FFC"/>
    <w:rsid w:val="0098660A"/>
    <w:rsid w:val="009931C3"/>
    <w:rsid w:val="009B2C43"/>
    <w:rsid w:val="009B4EAE"/>
    <w:rsid w:val="009B5E78"/>
    <w:rsid w:val="009B7573"/>
    <w:rsid w:val="009C22F4"/>
    <w:rsid w:val="009C2A4B"/>
    <w:rsid w:val="009C2E98"/>
    <w:rsid w:val="009D3447"/>
    <w:rsid w:val="009D4711"/>
    <w:rsid w:val="009F1185"/>
    <w:rsid w:val="009F18CD"/>
    <w:rsid w:val="009F2A13"/>
    <w:rsid w:val="009F7527"/>
    <w:rsid w:val="00A04EB0"/>
    <w:rsid w:val="00A13CC1"/>
    <w:rsid w:val="00A16847"/>
    <w:rsid w:val="00A2139D"/>
    <w:rsid w:val="00A237D8"/>
    <w:rsid w:val="00A268C4"/>
    <w:rsid w:val="00A26D79"/>
    <w:rsid w:val="00A307CD"/>
    <w:rsid w:val="00A331C8"/>
    <w:rsid w:val="00A40A00"/>
    <w:rsid w:val="00A4142F"/>
    <w:rsid w:val="00A422EB"/>
    <w:rsid w:val="00A45BB7"/>
    <w:rsid w:val="00A56DF2"/>
    <w:rsid w:val="00A56E6E"/>
    <w:rsid w:val="00A67AB5"/>
    <w:rsid w:val="00A733B2"/>
    <w:rsid w:val="00A741C2"/>
    <w:rsid w:val="00A91760"/>
    <w:rsid w:val="00A93355"/>
    <w:rsid w:val="00A93B00"/>
    <w:rsid w:val="00A93C21"/>
    <w:rsid w:val="00A95CA1"/>
    <w:rsid w:val="00AA2F0A"/>
    <w:rsid w:val="00AB64C9"/>
    <w:rsid w:val="00AC2550"/>
    <w:rsid w:val="00AC3C6A"/>
    <w:rsid w:val="00AD5620"/>
    <w:rsid w:val="00AD656B"/>
    <w:rsid w:val="00AD7C1B"/>
    <w:rsid w:val="00AE16BA"/>
    <w:rsid w:val="00AE1EBE"/>
    <w:rsid w:val="00B03C9D"/>
    <w:rsid w:val="00B060AE"/>
    <w:rsid w:val="00B10517"/>
    <w:rsid w:val="00B1202D"/>
    <w:rsid w:val="00B14E76"/>
    <w:rsid w:val="00B161B8"/>
    <w:rsid w:val="00B16B48"/>
    <w:rsid w:val="00B2048C"/>
    <w:rsid w:val="00B260A2"/>
    <w:rsid w:val="00B310B9"/>
    <w:rsid w:val="00B34E10"/>
    <w:rsid w:val="00B35F3F"/>
    <w:rsid w:val="00B36CBB"/>
    <w:rsid w:val="00B37818"/>
    <w:rsid w:val="00B4139C"/>
    <w:rsid w:val="00B425E0"/>
    <w:rsid w:val="00B440AA"/>
    <w:rsid w:val="00B44B70"/>
    <w:rsid w:val="00B45FC7"/>
    <w:rsid w:val="00B53C56"/>
    <w:rsid w:val="00B57DAF"/>
    <w:rsid w:val="00B6583F"/>
    <w:rsid w:val="00B77B29"/>
    <w:rsid w:val="00B77EA6"/>
    <w:rsid w:val="00B81598"/>
    <w:rsid w:val="00B841F1"/>
    <w:rsid w:val="00B944D6"/>
    <w:rsid w:val="00BA7EF2"/>
    <w:rsid w:val="00BB06F1"/>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497"/>
    <w:rsid w:val="00C5751C"/>
    <w:rsid w:val="00C61BFC"/>
    <w:rsid w:val="00C62B85"/>
    <w:rsid w:val="00C65438"/>
    <w:rsid w:val="00C65926"/>
    <w:rsid w:val="00C7667A"/>
    <w:rsid w:val="00C87FD8"/>
    <w:rsid w:val="00C91381"/>
    <w:rsid w:val="00C91CBB"/>
    <w:rsid w:val="00CA613B"/>
    <w:rsid w:val="00CB4E70"/>
    <w:rsid w:val="00CC09B6"/>
    <w:rsid w:val="00CC417B"/>
    <w:rsid w:val="00CC666F"/>
    <w:rsid w:val="00CD1E3F"/>
    <w:rsid w:val="00CE44F6"/>
    <w:rsid w:val="00CE49DA"/>
    <w:rsid w:val="00CE7B61"/>
    <w:rsid w:val="00CF4A2A"/>
    <w:rsid w:val="00CF63D2"/>
    <w:rsid w:val="00D00095"/>
    <w:rsid w:val="00D114F0"/>
    <w:rsid w:val="00D20620"/>
    <w:rsid w:val="00D254F7"/>
    <w:rsid w:val="00D26091"/>
    <w:rsid w:val="00D2685C"/>
    <w:rsid w:val="00D2755A"/>
    <w:rsid w:val="00D34E7C"/>
    <w:rsid w:val="00D35489"/>
    <w:rsid w:val="00D36AFE"/>
    <w:rsid w:val="00D431F8"/>
    <w:rsid w:val="00D51276"/>
    <w:rsid w:val="00D63987"/>
    <w:rsid w:val="00D7035F"/>
    <w:rsid w:val="00D77874"/>
    <w:rsid w:val="00D827F9"/>
    <w:rsid w:val="00D86E4C"/>
    <w:rsid w:val="00D95273"/>
    <w:rsid w:val="00DA634F"/>
    <w:rsid w:val="00DA65AC"/>
    <w:rsid w:val="00DB1913"/>
    <w:rsid w:val="00DC410D"/>
    <w:rsid w:val="00DC5A81"/>
    <w:rsid w:val="00DC68CA"/>
    <w:rsid w:val="00DC7CBA"/>
    <w:rsid w:val="00DD278A"/>
    <w:rsid w:val="00DD73B7"/>
    <w:rsid w:val="00DF272B"/>
    <w:rsid w:val="00DF28BC"/>
    <w:rsid w:val="00DF34B9"/>
    <w:rsid w:val="00E01053"/>
    <w:rsid w:val="00E07ACF"/>
    <w:rsid w:val="00E331A1"/>
    <w:rsid w:val="00E33202"/>
    <w:rsid w:val="00E336A9"/>
    <w:rsid w:val="00E37ED8"/>
    <w:rsid w:val="00E45355"/>
    <w:rsid w:val="00E472B1"/>
    <w:rsid w:val="00E50624"/>
    <w:rsid w:val="00E568DF"/>
    <w:rsid w:val="00E57F01"/>
    <w:rsid w:val="00E6420A"/>
    <w:rsid w:val="00E64269"/>
    <w:rsid w:val="00E7310E"/>
    <w:rsid w:val="00E82267"/>
    <w:rsid w:val="00E853CE"/>
    <w:rsid w:val="00E867B6"/>
    <w:rsid w:val="00EA010F"/>
    <w:rsid w:val="00EA37FF"/>
    <w:rsid w:val="00EC360D"/>
    <w:rsid w:val="00EC5B1E"/>
    <w:rsid w:val="00ED1B63"/>
    <w:rsid w:val="00ED3C1F"/>
    <w:rsid w:val="00ED4085"/>
    <w:rsid w:val="00ED420E"/>
    <w:rsid w:val="00ED6FBE"/>
    <w:rsid w:val="00EE2F57"/>
    <w:rsid w:val="00EE418D"/>
    <w:rsid w:val="00EF391C"/>
    <w:rsid w:val="00EF4C34"/>
    <w:rsid w:val="00EF6B93"/>
    <w:rsid w:val="00EF77C6"/>
    <w:rsid w:val="00F05438"/>
    <w:rsid w:val="00F1105D"/>
    <w:rsid w:val="00F11960"/>
    <w:rsid w:val="00F1361C"/>
    <w:rsid w:val="00F156F0"/>
    <w:rsid w:val="00F160C7"/>
    <w:rsid w:val="00F2408F"/>
    <w:rsid w:val="00F240E9"/>
    <w:rsid w:val="00F36D8F"/>
    <w:rsid w:val="00F417B1"/>
    <w:rsid w:val="00F45853"/>
    <w:rsid w:val="00F602DF"/>
    <w:rsid w:val="00F7304E"/>
    <w:rsid w:val="00F754A1"/>
    <w:rsid w:val="00F81FD9"/>
    <w:rsid w:val="00F841AA"/>
    <w:rsid w:val="00F84A94"/>
    <w:rsid w:val="00F87E96"/>
    <w:rsid w:val="00FA1E28"/>
    <w:rsid w:val="00FA23E8"/>
    <w:rsid w:val="00FA4DD1"/>
    <w:rsid w:val="00FC2167"/>
    <w:rsid w:val="00FD3CC1"/>
    <w:rsid w:val="00FE3A08"/>
    <w:rsid w:val="00FF1E02"/>
    <w:rsid w:val="00FF30B4"/>
    <w:rsid w:val="0A2032A3"/>
    <w:rsid w:val="10C055FF"/>
    <w:rsid w:val="118107EC"/>
    <w:rsid w:val="16BB723D"/>
    <w:rsid w:val="18015F3F"/>
    <w:rsid w:val="1BE8440E"/>
    <w:rsid w:val="1D155CEE"/>
    <w:rsid w:val="20F57F95"/>
    <w:rsid w:val="240371BF"/>
    <w:rsid w:val="27842671"/>
    <w:rsid w:val="29FD04D3"/>
    <w:rsid w:val="2ABE7A3E"/>
    <w:rsid w:val="319F7F4E"/>
    <w:rsid w:val="3C0C0783"/>
    <w:rsid w:val="493C27E9"/>
    <w:rsid w:val="496F39ED"/>
    <w:rsid w:val="49FF41D3"/>
    <w:rsid w:val="4BE068DB"/>
    <w:rsid w:val="4BF6002B"/>
    <w:rsid w:val="4ECE2238"/>
    <w:rsid w:val="64CA39A1"/>
    <w:rsid w:val="6C4A05C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Document Map" w:uiPriority="0" w:qFormat="1"/>
    <w:lsdException w:name="Normal Table"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6420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E6420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642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6420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6420A"/>
    <w:pPr>
      <w:spacing w:beforeLines="30"/>
    </w:pPr>
    <w:rPr>
      <w:rFonts w:ascii="仿宋_GB2312" w:eastAsia="仿宋_GB2312"/>
      <w:kern w:val="0"/>
      <w:sz w:val="30"/>
    </w:rPr>
  </w:style>
  <w:style w:type="character" w:customStyle="1" w:styleId="Char">
    <w:name w:val="正文文本 Char"/>
    <w:link w:val="a0"/>
    <w:uiPriority w:val="99"/>
    <w:qFormat/>
    <w:locked/>
    <w:rsid w:val="00E6420A"/>
    <w:rPr>
      <w:rFonts w:ascii="仿宋_GB2312" w:eastAsia="仿宋_GB2312" w:hAnsi="Times New Roman"/>
      <w:sz w:val="24"/>
    </w:rPr>
  </w:style>
  <w:style w:type="character" w:customStyle="1" w:styleId="1Char">
    <w:name w:val="标题 1 Char"/>
    <w:basedOn w:val="a1"/>
    <w:link w:val="1"/>
    <w:uiPriority w:val="9"/>
    <w:qFormat/>
    <w:rsid w:val="00E6420A"/>
    <w:rPr>
      <w:rFonts w:ascii="Times New Roman" w:hAnsi="Times New Roman"/>
      <w:b/>
      <w:bCs/>
      <w:kern w:val="44"/>
      <w:sz w:val="44"/>
      <w:szCs w:val="44"/>
    </w:rPr>
  </w:style>
  <w:style w:type="character" w:customStyle="1" w:styleId="2Char">
    <w:name w:val="标题 2 Char"/>
    <w:basedOn w:val="a1"/>
    <w:link w:val="2"/>
    <w:uiPriority w:val="9"/>
    <w:qFormat/>
    <w:rsid w:val="00E6420A"/>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E6420A"/>
    <w:rPr>
      <w:rFonts w:ascii="Times New Roman" w:hAnsi="Times New Roman"/>
      <w:b/>
      <w:bCs/>
      <w:kern w:val="2"/>
      <w:sz w:val="32"/>
      <w:szCs w:val="32"/>
    </w:rPr>
  </w:style>
  <w:style w:type="paragraph" w:styleId="30">
    <w:name w:val="toc 3"/>
    <w:basedOn w:val="a"/>
    <w:next w:val="a"/>
    <w:uiPriority w:val="39"/>
    <w:unhideWhenUsed/>
    <w:qFormat/>
    <w:rsid w:val="00E6420A"/>
    <w:pPr>
      <w:tabs>
        <w:tab w:val="right" w:leader="dot" w:pos="8296"/>
      </w:tabs>
      <w:ind w:leftChars="400" w:left="840"/>
    </w:pPr>
  </w:style>
  <w:style w:type="paragraph" w:styleId="a4">
    <w:name w:val="Balloon Text"/>
    <w:basedOn w:val="a"/>
    <w:link w:val="Char0"/>
    <w:semiHidden/>
    <w:unhideWhenUsed/>
    <w:qFormat/>
    <w:rsid w:val="00E6420A"/>
    <w:rPr>
      <w:sz w:val="18"/>
      <w:szCs w:val="18"/>
    </w:rPr>
  </w:style>
  <w:style w:type="character" w:customStyle="1" w:styleId="Char0">
    <w:name w:val="批注框文本 Char"/>
    <w:basedOn w:val="a1"/>
    <w:link w:val="a4"/>
    <w:uiPriority w:val="99"/>
    <w:semiHidden/>
    <w:qFormat/>
    <w:rsid w:val="00E6420A"/>
    <w:rPr>
      <w:rFonts w:ascii="Times New Roman" w:hAnsi="Times New Roman"/>
      <w:kern w:val="2"/>
      <w:sz w:val="18"/>
      <w:szCs w:val="18"/>
    </w:rPr>
  </w:style>
  <w:style w:type="paragraph" w:styleId="a5">
    <w:name w:val="footer"/>
    <w:basedOn w:val="a"/>
    <w:link w:val="Char1"/>
    <w:uiPriority w:val="99"/>
    <w:qFormat/>
    <w:rsid w:val="00E6420A"/>
    <w:pPr>
      <w:tabs>
        <w:tab w:val="center" w:pos="4153"/>
        <w:tab w:val="right" w:pos="8306"/>
      </w:tabs>
      <w:snapToGrid w:val="0"/>
      <w:jc w:val="left"/>
    </w:pPr>
    <w:rPr>
      <w:rFonts w:ascii="Calibri" w:hAnsi="Calibri"/>
      <w:kern w:val="0"/>
      <w:sz w:val="18"/>
      <w:szCs w:val="18"/>
    </w:rPr>
  </w:style>
  <w:style w:type="character" w:customStyle="1" w:styleId="Char1">
    <w:name w:val="页脚 Char"/>
    <w:link w:val="a5"/>
    <w:uiPriority w:val="99"/>
    <w:qFormat/>
    <w:locked/>
    <w:rsid w:val="00E6420A"/>
    <w:rPr>
      <w:sz w:val="18"/>
    </w:rPr>
  </w:style>
  <w:style w:type="paragraph" w:styleId="a6">
    <w:name w:val="header"/>
    <w:basedOn w:val="a"/>
    <w:link w:val="Char2"/>
    <w:qFormat/>
    <w:rsid w:val="00E6420A"/>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link w:val="a6"/>
    <w:uiPriority w:val="99"/>
    <w:qFormat/>
    <w:locked/>
    <w:rsid w:val="00E6420A"/>
    <w:rPr>
      <w:sz w:val="18"/>
    </w:rPr>
  </w:style>
  <w:style w:type="paragraph" w:styleId="10">
    <w:name w:val="toc 1"/>
    <w:basedOn w:val="a"/>
    <w:next w:val="a"/>
    <w:uiPriority w:val="39"/>
    <w:unhideWhenUsed/>
    <w:qFormat/>
    <w:rsid w:val="00E6420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6420A"/>
    <w:pPr>
      <w:tabs>
        <w:tab w:val="right" w:leader="dot" w:pos="8296"/>
      </w:tabs>
      <w:ind w:leftChars="200" w:left="420"/>
    </w:pPr>
  </w:style>
  <w:style w:type="character" w:styleId="a7">
    <w:name w:val="Strong"/>
    <w:basedOn w:val="a1"/>
    <w:uiPriority w:val="99"/>
    <w:qFormat/>
    <w:rsid w:val="00E6420A"/>
    <w:rPr>
      <w:b/>
    </w:rPr>
  </w:style>
  <w:style w:type="character" w:styleId="a8">
    <w:name w:val="Hyperlink"/>
    <w:basedOn w:val="a1"/>
    <w:uiPriority w:val="99"/>
    <w:unhideWhenUsed/>
    <w:qFormat/>
    <w:rsid w:val="00E6420A"/>
    <w:rPr>
      <w:color w:val="0000FF" w:themeColor="hyperlink"/>
      <w:u w:val="single"/>
    </w:rPr>
  </w:style>
  <w:style w:type="character" w:customStyle="1" w:styleId="HeaderChar">
    <w:name w:val="Header Char"/>
    <w:basedOn w:val="a1"/>
    <w:uiPriority w:val="99"/>
    <w:semiHidden/>
    <w:qFormat/>
    <w:rsid w:val="00E6420A"/>
    <w:rPr>
      <w:rFonts w:ascii="Times New Roman" w:hAnsi="Times New Roman"/>
      <w:sz w:val="18"/>
      <w:szCs w:val="18"/>
    </w:rPr>
  </w:style>
  <w:style w:type="character" w:customStyle="1" w:styleId="FooterChar">
    <w:name w:val="Footer Char"/>
    <w:basedOn w:val="a1"/>
    <w:uiPriority w:val="99"/>
    <w:semiHidden/>
    <w:qFormat/>
    <w:rsid w:val="00E6420A"/>
    <w:rPr>
      <w:rFonts w:ascii="Times New Roman" w:hAnsi="Times New Roman"/>
      <w:sz w:val="18"/>
      <w:szCs w:val="18"/>
    </w:rPr>
  </w:style>
  <w:style w:type="character" w:customStyle="1" w:styleId="BodyTextChar">
    <w:name w:val="Body Text Char"/>
    <w:basedOn w:val="a1"/>
    <w:uiPriority w:val="99"/>
    <w:semiHidden/>
    <w:qFormat/>
    <w:rsid w:val="00E6420A"/>
    <w:rPr>
      <w:rFonts w:ascii="Times New Roman" w:hAnsi="Times New Roman"/>
      <w:szCs w:val="24"/>
    </w:rPr>
  </w:style>
  <w:style w:type="paragraph" w:customStyle="1" w:styleId="Default">
    <w:name w:val="Default"/>
    <w:uiPriority w:val="99"/>
    <w:qFormat/>
    <w:rsid w:val="00E6420A"/>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E6420A"/>
    <w:pPr>
      <w:ind w:firstLineChars="200" w:firstLine="420"/>
    </w:pPr>
  </w:style>
  <w:style w:type="paragraph" w:customStyle="1" w:styleId="TOC1">
    <w:name w:val="TOC 标题1"/>
    <w:basedOn w:val="1"/>
    <w:next w:val="a"/>
    <w:uiPriority w:val="39"/>
    <w:unhideWhenUsed/>
    <w:qFormat/>
    <w:rsid w:val="00E6420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E6420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99"/>
    <w:qFormat/>
    <w:rsid w:val="00FA1E28"/>
    <w:pPr>
      <w:ind w:firstLineChars="200" w:firstLine="420"/>
    </w:pPr>
    <w:rPr>
      <w:szCs w:val="21"/>
    </w:rPr>
  </w:style>
  <w:style w:type="paragraph" w:customStyle="1" w:styleId="aa">
    <w:name w:val="四号正文"/>
    <w:basedOn w:val="a"/>
    <w:link w:val="Char3"/>
    <w:qFormat/>
    <w:rsid w:val="006147E2"/>
    <w:pPr>
      <w:spacing w:line="360" w:lineRule="auto"/>
    </w:pPr>
    <w:rPr>
      <w:rFonts w:ascii="??" w:hAnsi="??"/>
      <w:color w:val="000000"/>
      <w:kern w:val="0"/>
      <w:sz w:val="28"/>
      <w:szCs w:val="21"/>
    </w:rPr>
  </w:style>
  <w:style w:type="character" w:customStyle="1" w:styleId="Char3">
    <w:name w:val="四号正文 Char"/>
    <w:link w:val="aa"/>
    <w:qFormat/>
    <w:rsid w:val="006147E2"/>
    <w:rPr>
      <w:rFonts w:ascii="??" w:eastAsia="宋体" w:hAnsi="??" w:cs="Times New Roman"/>
      <w:color w:val="000000"/>
      <w:sz w:val="28"/>
      <w:szCs w:val="21"/>
    </w:rPr>
  </w:style>
  <w:style w:type="table" w:styleId="ab">
    <w:name w:val="Table Grid"/>
    <w:basedOn w:val="a2"/>
    <w:uiPriority w:val="59"/>
    <w:qFormat/>
    <w:rsid w:val="00B6583F"/>
    <w:pPr>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uiPriority w:val="99"/>
    <w:qFormat/>
    <w:rsid w:val="00B6583F"/>
    <w:pPr>
      <w:widowControl/>
    </w:pPr>
    <w:rPr>
      <w:rFonts w:ascii="Calibri" w:eastAsia="仿宋_GB2312" w:hAnsi="Calibri" w:cs="宋体"/>
      <w:spacing w:val="-20"/>
      <w:kern w:val="0"/>
      <w:sz w:val="32"/>
      <w:szCs w:val="21"/>
    </w:rPr>
  </w:style>
  <w:style w:type="character" w:customStyle="1" w:styleId="font11">
    <w:name w:val="font11"/>
    <w:basedOn w:val="a1"/>
    <w:qFormat/>
    <w:rsid w:val="00B6583F"/>
    <w:rPr>
      <w:rFonts w:ascii="宋体" w:eastAsia="宋体" w:hAnsi="宋体" w:cs="宋体" w:hint="eastAsia"/>
      <w:color w:val="000000"/>
      <w:sz w:val="20"/>
      <w:szCs w:val="20"/>
      <w:u w:val="none"/>
    </w:rPr>
  </w:style>
  <w:style w:type="character" w:styleId="ac">
    <w:name w:val="Emphasis"/>
    <w:basedOn w:val="a1"/>
    <w:uiPriority w:val="20"/>
    <w:qFormat/>
    <w:rsid w:val="00B6583F"/>
    <w:rPr>
      <w:i/>
      <w:iCs/>
    </w:rPr>
  </w:style>
  <w:style w:type="paragraph" w:styleId="ad">
    <w:name w:val="Normal (Web)"/>
    <w:basedOn w:val="a"/>
    <w:uiPriority w:val="99"/>
    <w:semiHidden/>
    <w:unhideWhenUsed/>
    <w:rsid w:val="00B6583F"/>
    <w:pPr>
      <w:widowControl/>
      <w:spacing w:before="100" w:beforeAutospacing="1" w:after="100" w:afterAutospacing="1"/>
      <w:jc w:val="left"/>
    </w:pPr>
    <w:rPr>
      <w:rFonts w:ascii="宋体" w:hAnsi="宋体" w:cs="宋体"/>
      <w:kern w:val="0"/>
      <w:sz w:val="24"/>
    </w:rPr>
  </w:style>
  <w:style w:type="character" w:customStyle="1" w:styleId="Char4">
    <w:name w:val="文档结构图 Char"/>
    <w:basedOn w:val="a1"/>
    <w:link w:val="ae"/>
    <w:qFormat/>
    <w:rsid w:val="00B6583F"/>
    <w:rPr>
      <w:rFonts w:ascii="宋体"/>
      <w:kern w:val="2"/>
      <w:sz w:val="18"/>
      <w:szCs w:val="18"/>
    </w:rPr>
  </w:style>
  <w:style w:type="paragraph" w:styleId="ae">
    <w:name w:val="Document Map"/>
    <w:basedOn w:val="a"/>
    <w:link w:val="Char4"/>
    <w:qFormat/>
    <w:rsid w:val="00B6583F"/>
    <w:rPr>
      <w:rFonts w:ascii="宋体" w:eastAsiaTheme="minorEastAsia" w:hAnsiTheme="minorHAnsi" w:cstheme="minorBidi"/>
      <w:sz w:val="18"/>
      <w:szCs w:val="18"/>
    </w:rPr>
  </w:style>
  <w:style w:type="character" w:customStyle="1" w:styleId="Char10">
    <w:name w:val="文档结构图 Char1"/>
    <w:basedOn w:val="a1"/>
    <w:link w:val="ae"/>
    <w:uiPriority w:val="99"/>
    <w:semiHidden/>
    <w:rsid w:val="00B6583F"/>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6774193548387566E-2"/>
          <c:y val="3.4749034749034756E-2"/>
          <c:w val="0.71612903225808711"/>
          <c:h val="0.82625482625483682"/>
        </c:manualLayout>
      </c:layout>
      <c:bar3DChart>
        <c:barDir val="col"/>
        <c:grouping val="clustered"/>
        <c:ser>
          <c:idx val="1"/>
          <c:order val="0"/>
          <c:tx>
            <c:strRef>
              <c:f>Sheet1!$A$2</c:f>
              <c:strCache>
                <c:ptCount val="1"/>
                <c:pt idx="0">
                  <c:v>2020年</c:v>
                </c:pt>
              </c:strCache>
            </c:strRef>
          </c:tx>
          <c:spPr>
            <a:solidFill>
              <a:srgbClr val="993366"/>
            </a:solidFill>
            <a:ln w="12611">
              <a:solidFill>
                <a:srgbClr val="000000"/>
              </a:solidFill>
              <a:prstDash val="solid"/>
            </a:ln>
          </c:spPr>
          <c:dLbls>
            <c:dLbl>
              <c:idx val="0"/>
              <c:layout>
                <c:manualLayout>
                  <c:x val="-3.6533241576955762E-2"/>
                  <c:y val="-4.8251908838795175E-2"/>
                </c:manualLayout>
              </c:layout>
              <c:showVal val="1"/>
            </c:dLbl>
            <c:dLbl>
              <c:idx val="1"/>
              <c:layout>
                <c:manualLayout>
                  <c:x val="2.0721286868293096E-2"/>
                  <c:y val="-4.8251908838795175E-2"/>
                </c:manualLayout>
              </c:layout>
              <c:showVal val="1"/>
            </c:dLbl>
            <c:spPr>
              <a:noFill/>
              <a:ln w="25223">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Sheet1!$B$2:$C$2</c:f>
              <c:numCache>
                <c:formatCode>General</c:formatCode>
                <c:ptCount val="2"/>
                <c:pt idx="0">
                  <c:v>5681.52</c:v>
                </c:pt>
                <c:pt idx="1">
                  <c:v>5681.52</c:v>
                </c:pt>
              </c:numCache>
            </c:numRef>
          </c:val>
        </c:ser>
        <c:ser>
          <c:idx val="2"/>
          <c:order val="1"/>
          <c:tx>
            <c:strRef>
              <c:f>Sheet1!$A$3</c:f>
              <c:strCache>
                <c:ptCount val="1"/>
                <c:pt idx="0">
                  <c:v>2021年</c:v>
                </c:pt>
              </c:strCache>
            </c:strRef>
          </c:tx>
          <c:spPr>
            <a:solidFill>
              <a:srgbClr val="FFFFCC"/>
            </a:solidFill>
            <a:ln w="12611">
              <a:solidFill>
                <a:srgbClr val="000000"/>
              </a:solidFill>
              <a:prstDash val="solid"/>
            </a:ln>
          </c:spPr>
          <c:dLbls>
            <c:dLbl>
              <c:idx val="0"/>
              <c:layout>
                <c:manualLayout>
                  <c:x val="2.8673174230278858E-2"/>
                  <c:y val="-3.2466155680452032E-2"/>
                </c:manualLayout>
              </c:layout>
              <c:showVal val="1"/>
            </c:dLbl>
            <c:dLbl>
              <c:idx val="1"/>
              <c:layout>
                <c:manualLayout>
                  <c:x val="9.2379130634166459E-2"/>
                  <c:y val="-3.2466155680452032E-2"/>
                </c:manualLayout>
              </c:layout>
              <c:showVal val="1"/>
            </c:dLbl>
            <c:spPr>
              <a:noFill/>
              <a:ln w="25223">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Sheet1!$B$3:$C$3</c:f>
              <c:numCache>
                <c:formatCode>General</c:formatCode>
                <c:ptCount val="2"/>
                <c:pt idx="0">
                  <c:v>10629.03</c:v>
                </c:pt>
                <c:pt idx="1">
                  <c:v>10629.03</c:v>
                </c:pt>
              </c:numCache>
            </c:numRef>
          </c:val>
        </c:ser>
        <c:dLbls>
          <c:showVal val="1"/>
        </c:dLbls>
        <c:gapDepth val="0"/>
        <c:shape val="box"/>
        <c:axId val="148105856"/>
        <c:axId val="148837120"/>
        <c:axId val="0"/>
      </c:bar3DChart>
      <c:catAx>
        <c:axId val="148105856"/>
        <c:scaling>
          <c:orientation val="minMax"/>
        </c:scaling>
        <c:axPos val="b"/>
        <c:numFmt formatCode="General" sourceLinked="1"/>
        <c:majorTickMark val="in"/>
        <c:tickLblPos val="low"/>
        <c:spPr>
          <a:ln w="3153">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148837120"/>
        <c:crosses val="autoZero"/>
        <c:auto val="1"/>
        <c:lblAlgn val="ctr"/>
        <c:lblOffset val="100"/>
        <c:tickLblSkip val="1"/>
        <c:tickMarkSkip val="1"/>
      </c:catAx>
      <c:valAx>
        <c:axId val="148837120"/>
        <c:scaling>
          <c:orientation val="minMax"/>
        </c:scaling>
        <c:axPos val="l"/>
        <c:majorGridlines>
          <c:spPr>
            <a:ln w="3153">
              <a:solidFill>
                <a:srgbClr val="000000"/>
              </a:solidFill>
              <a:prstDash val="solid"/>
            </a:ln>
          </c:spPr>
        </c:majorGridlines>
        <c:numFmt formatCode="General" sourceLinked="1"/>
        <c:majorTickMark val="in"/>
        <c:tickLblPos val="nextTo"/>
        <c:spPr>
          <a:ln w="3153">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148105856"/>
        <c:crosses val="autoZero"/>
        <c:crossBetween val="between"/>
      </c:valAx>
      <c:spPr>
        <a:noFill/>
        <a:ln w="25223">
          <a:noFill/>
        </a:ln>
      </c:spPr>
    </c:plotArea>
    <c:legend>
      <c:legendPos val="r"/>
      <c:layout>
        <c:manualLayout>
          <c:xMode val="edge"/>
          <c:yMode val="edge"/>
          <c:x val="0.83655913978494556"/>
          <c:y val="0.41698841698842426"/>
          <c:w val="0.15483870967741944"/>
          <c:h val="0.16602316602316605"/>
        </c:manualLayout>
      </c:layout>
      <c:spPr>
        <a:noFill/>
        <a:ln w="3153">
          <a:solidFill>
            <a:srgbClr val="000000"/>
          </a:solidFill>
          <a:prstDash val="solid"/>
        </a:ln>
      </c:spPr>
      <c:txPr>
        <a:bodyPr/>
        <a:lstStyle/>
        <a:p>
          <a:pPr>
            <a:defRPr sz="1092"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2"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822784810126952"/>
          <c:y val="0.19708029197080293"/>
          <c:w val="0.35443037974683939"/>
          <c:h val="0.61313868613139499"/>
        </c:manualLayout>
      </c:layout>
      <c:pieChart>
        <c:varyColors val="1"/>
        <c:ser>
          <c:idx val="0"/>
          <c:order val="0"/>
          <c:tx>
            <c:strRef>
              <c:f>Sheet1!$A$2</c:f>
              <c:strCache>
                <c:ptCount val="1"/>
                <c:pt idx="0">
                  <c:v>2021年</c:v>
                </c:pt>
              </c:strCache>
            </c:strRef>
          </c:tx>
          <c:spPr>
            <a:solidFill>
              <a:srgbClr val="9999FF"/>
            </a:solidFill>
            <a:ln w="12631">
              <a:solidFill>
                <a:srgbClr val="000000"/>
              </a:solidFill>
              <a:prstDash val="solid"/>
            </a:ln>
          </c:spPr>
          <c:dLbls>
            <c:numFmt formatCode="0%" sourceLinked="0"/>
            <c:spPr>
              <a:noFill/>
              <a:ln w="25262">
                <a:noFill/>
              </a:ln>
            </c:spPr>
            <c:txPr>
              <a:bodyPr/>
              <a:lstStyle/>
              <a:p>
                <a:pPr>
                  <a:defRPr sz="1193" b="0" i="0" u="none" strike="noStrike" baseline="0">
                    <a:solidFill>
                      <a:srgbClr val="000000"/>
                    </a:solidFill>
                    <a:latin typeface="宋体"/>
                    <a:ea typeface="宋体"/>
                    <a:cs typeface="宋体"/>
                  </a:defRPr>
                </a:pPr>
                <a:endParaRPr lang="zh-CN"/>
              </a:p>
            </c:txPr>
            <c:showPercent val="1"/>
            <c:showLeaderLines val="1"/>
          </c:dLbls>
          <c:cat>
            <c:strRef>
              <c:f>Sheet1!$B$1:$B$1</c:f>
              <c:strCache>
                <c:ptCount val="1"/>
                <c:pt idx="0">
                  <c:v>一般公共预算财政拨款收入</c:v>
                </c:pt>
              </c:strCache>
            </c:strRef>
          </c:cat>
          <c:val>
            <c:numRef>
              <c:f>Sheet1!$B$2:$B$2</c:f>
              <c:numCache>
                <c:formatCode>General</c:formatCode>
                <c:ptCount val="1"/>
                <c:pt idx="0">
                  <c:v>10629.03</c:v>
                </c:pt>
              </c:numCache>
            </c:numRef>
          </c:val>
        </c:ser>
        <c:firstSliceAng val="0"/>
      </c:pieChart>
      <c:spPr>
        <a:solidFill>
          <a:srgbClr val="C0C0C0"/>
        </a:solidFill>
        <a:ln w="12631">
          <a:solidFill>
            <a:srgbClr val="808080"/>
          </a:solidFill>
          <a:prstDash val="solid"/>
        </a:ln>
      </c:spPr>
    </c:plotArea>
    <c:legend>
      <c:legendPos val="r"/>
      <c:layout>
        <c:manualLayout>
          <c:xMode val="edge"/>
          <c:yMode val="edge"/>
          <c:x val="0.67088607594936711"/>
          <c:y val="0.42700729927007836"/>
          <c:w val="0.32067510548523231"/>
          <c:h val="0.14598540145985608"/>
        </c:manualLayout>
      </c:layout>
      <c:spPr>
        <a:noFill/>
        <a:ln w="3158">
          <a:solidFill>
            <a:srgbClr val="000000"/>
          </a:solidFill>
          <a:prstDash val="solid"/>
        </a:ln>
      </c:spPr>
      <c:txPr>
        <a:bodyPr/>
        <a:lstStyle/>
        <a:p>
          <a:pPr>
            <a:defRPr sz="1094"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3"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75"/>
      <c:perspective val="30"/>
    </c:view3D>
    <c:sideWall>
      <c:spPr>
        <a:solidFill>
          <a:srgbClr val="C0C0C0"/>
        </a:solidFill>
        <a:ln w="12609">
          <a:solidFill>
            <a:srgbClr val="808080"/>
          </a:solidFill>
          <a:prstDash val="solid"/>
        </a:ln>
      </c:spPr>
    </c:sideWall>
    <c:backWall>
      <c:spPr>
        <a:solidFill>
          <a:srgbClr val="C0C0C0"/>
        </a:solidFill>
        <a:ln w="12609">
          <a:solidFill>
            <a:srgbClr val="808080"/>
          </a:solidFill>
          <a:prstDash val="solid"/>
        </a:ln>
      </c:spPr>
    </c:backWall>
    <c:plotArea>
      <c:layout>
        <c:manualLayout>
          <c:layoutTarget val="inner"/>
          <c:xMode val="edge"/>
          <c:yMode val="edge"/>
          <c:x val="0.18036529680365296"/>
          <c:y val="0.22185430463576158"/>
          <c:w val="0.38812785388128351"/>
          <c:h val="0.5629139072847682"/>
        </c:manualLayout>
      </c:layout>
      <c:pie3DChart>
        <c:varyColors val="1"/>
        <c:ser>
          <c:idx val="0"/>
          <c:order val="0"/>
          <c:tx>
            <c:strRef>
              <c:f>Sheet1!$A$2</c:f>
              <c:strCache>
                <c:ptCount val="1"/>
                <c:pt idx="0">
                  <c:v>2021年支出合计</c:v>
                </c:pt>
              </c:strCache>
            </c:strRef>
          </c:tx>
          <c:spPr>
            <a:solidFill>
              <a:srgbClr val="9999FF"/>
            </a:solidFill>
            <a:ln w="12609">
              <a:solidFill>
                <a:srgbClr val="000000"/>
              </a:solidFill>
              <a:prstDash val="solid"/>
            </a:ln>
          </c:spPr>
          <c:dPt>
            <c:idx val="1"/>
            <c:spPr>
              <a:solidFill>
                <a:srgbClr val="993366"/>
              </a:solidFill>
              <a:ln w="12609">
                <a:solidFill>
                  <a:srgbClr val="000000"/>
                </a:solidFill>
                <a:prstDash val="solid"/>
              </a:ln>
            </c:spPr>
          </c:dPt>
          <c:dLbls>
            <c:numFmt formatCode="0.00%" sourceLinked="0"/>
            <c:spPr>
              <a:noFill/>
              <a:ln w="25218">
                <a:noFill/>
              </a:ln>
            </c:spPr>
            <c:txPr>
              <a:bodyPr/>
              <a:lstStyle/>
              <a:p>
                <a:pPr>
                  <a:defRPr sz="1415" b="0" i="0" u="none" strike="noStrike" baseline="0">
                    <a:solidFill>
                      <a:srgbClr val="000000"/>
                    </a:solidFill>
                    <a:latin typeface="宋体"/>
                    <a:ea typeface="宋体"/>
                    <a:cs typeface="宋体"/>
                  </a:defRPr>
                </a:pPr>
                <a:endParaRPr lang="zh-CN"/>
              </a:p>
            </c:txPr>
            <c:showPercent val="1"/>
            <c:showLeaderLines val="1"/>
          </c:dLbls>
          <c:cat>
            <c:strRef>
              <c:f>Sheet1!$B$1:$C$1</c:f>
              <c:strCache>
                <c:ptCount val="2"/>
                <c:pt idx="0">
                  <c:v>基本支出</c:v>
                </c:pt>
                <c:pt idx="1">
                  <c:v>项目支出</c:v>
                </c:pt>
              </c:strCache>
            </c:strRef>
          </c:cat>
          <c:val>
            <c:numRef>
              <c:f>Sheet1!$B$2:$C$2</c:f>
              <c:numCache>
                <c:formatCode>General</c:formatCode>
                <c:ptCount val="2"/>
                <c:pt idx="0">
                  <c:v>3808.3100000000022</c:v>
                </c:pt>
                <c:pt idx="1">
                  <c:v>6820.72</c:v>
                </c:pt>
              </c:numCache>
            </c:numRef>
          </c:val>
        </c:ser>
      </c:pie3DChart>
    </c:plotArea>
    <c:legend>
      <c:legendPos val="r"/>
      <c:layout>
        <c:manualLayout>
          <c:xMode val="edge"/>
          <c:yMode val="edge"/>
          <c:x val="0.74657534246575363"/>
          <c:y val="0.4072847682119245"/>
          <c:w val="0.20706242059656763"/>
          <c:h val="0.16126280179103294"/>
        </c:manualLayout>
      </c:layout>
      <c:spPr>
        <a:noFill/>
        <a:ln w="3152">
          <a:solidFill>
            <a:srgbClr val="000000"/>
          </a:solidFill>
          <a:prstDash val="solid"/>
        </a:ln>
      </c:spPr>
      <c:txPr>
        <a:bodyPr/>
        <a:lstStyle/>
        <a:p>
          <a:pPr>
            <a:defRPr sz="1301"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415"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250569476082012"/>
          <c:y val="5.3003533568904596E-2"/>
          <c:w val="0.6993166287015945"/>
          <c:h val="0.81978798586571655"/>
        </c:manualLayout>
      </c:layout>
      <c:bar3DChart>
        <c:barDir val="col"/>
        <c:grouping val="clustered"/>
        <c:ser>
          <c:idx val="1"/>
          <c:order val="0"/>
          <c:tx>
            <c:strRef>
              <c:f>Sheet1!$A$2</c:f>
              <c:strCache>
                <c:ptCount val="1"/>
                <c:pt idx="0">
                  <c:v>2020年</c:v>
                </c:pt>
              </c:strCache>
            </c:strRef>
          </c:tx>
          <c:spPr>
            <a:solidFill>
              <a:srgbClr val="993366"/>
            </a:solidFill>
            <a:ln w="12601">
              <a:solidFill>
                <a:srgbClr val="000000"/>
              </a:solidFill>
              <a:prstDash val="solid"/>
            </a:ln>
          </c:spPr>
          <c:dLbls>
            <c:spPr>
              <a:noFill/>
              <a:ln w="25203">
                <a:noFill/>
              </a:ln>
            </c:spPr>
            <c:txPr>
              <a:bodyPr/>
              <a:lstStyle/>
              <a:p>
                <a:pPr>
                  <a:defRPr sz="1191"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Sheet1!$B$2:$E$2</c:f>
              <c:numCache>
                <c:formatCode>General</c:formatCode>
                <c:ptCount val="4"/>
                <c:pt idx="0">
                  <c:v>5681.52</c:v>
                </c:pt>
                <c:pt idx="1">
                  <c:v>5681.52</c:v>
                </c:pt>
              </c:numCache>
            </c:numRef>
          </c:val>
        </c:ser>
        <c:ser>
          <c:idx val="2"/>
          <c:order val="1"/>
          <c:tx>
            <c:strRef>
              <c:f>Sheet1!$A$3</c:f>
              <c:strCache>
                <c:ptCount val="1"/>
                <c:pt idx="0">
                  <c:v>2021年</c:v>
                </c:pt>
              </c:strCache>
            </c:strRef>
          </c:tx>
          <c:spPr>
            <a:solidFill>
              <a:srgbClr val="FFFFCC"/>
            </a:solidFill>
            <a:ln w="12601">
              <a:solidFill>
                <a:srgbClr val="000000"/>
              </a:solidFill>
              <a:prstDash val="solid"/>
            </a:ln>
          </c:spPr>
          <c:dLbls>
            <c:spPr>
              <a:noFill/>
              <a:ln w="25203">
                <a:noFill/>
              </a:ln>
            </c:spPr>
            <c:txPr>
              <a:bodyPr/>
              <a:lstStyle/>
              <a:p>
                <a:pPr>
                  <a:defRPr sz="1191"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Sheet1!$B$3:$E$3</c:f>
              <c:numCache>
                <c:formatCode>General</c:formatCode>
                <c:ptCount val="4"/>
                <c:pt idx="0">
                  <c:v>10629.03</c:v>
                </c:pt>
                <c:pt idx="1">
                  <c:v>10629.03</c:v>
                </c:pt>
              </c:numCache>
            </c:numRef>
          </c:val>
        </c:ser>
        <c:dLbls>
          <c:showVal val="1"/>
        </c:dLbls>
        <c:gapDepth val="0"/>
        <c:shape val="box"/>
        <c:axId val="153867392"/>
        <c:axId val="153894272"/>
        <c:axId val="0"/>
      </c:bar3DChart>
      <c:catAx>
        <c:axId val="153867392"/>
        <c:scaling>
          <c:orientation val="minMax"/>
        </c:scaling>
        <c:axPos val="b"/>
        <c:numFmt formatCode="General" sourceLinked="1"/>
        <c:majorTickMark val="in"/>
        <c:tickLblPos val="low"/>
        <c:spPr>
          <a:ln w="3150">
            <a:solidFill>
              <a:srgbClr val="000000"/>
            </a:solidFill>
            <a:prstDash val="solid"/>
          </a:ln>
        </c:spPr>
        <c:txPr>
          <a:bodyPr rot="0" vert="horz"/>
          <a:lstStyle/>
          <a:p>
            <a:pPr>
              <a:defRPr sz="1191" b="0" i="0" u="none" strike="noStrike" baseline="0">
                <a:solidFill>
                  <a:srgbClr val="000000"/>
                </a:solidFill>
                <a:latin typeface="宋体"/>
                <a:ea typeface="宋体"/>
                <a:cs typeface="宋体"/>
              </a:defRPr>
            </a:pPr>
            <a:endParaRPr lang="zh-CN"/>
          </a:p>
        </c:txPr>
        <c:crossAx val="153894272"/>
        <c:crosses val="autoZero"/>
        <c:auto val="1"/>
        <c:lblAlgn val="ctr"/>
        <c:lblOffset val="100"/>
        <c:tickLblSkip val="1"/>
        <c:tickMarkSkip val="1"/>
      </c:catAx>
      <c:valAx>
        <c:axId val="153894272"/>
        <c:scaling>
          <c:orientation val="minMax"/>
        </c:scaling>
        <c:axPos val="l"/>
        <c:majorGridlines>
          <c:spPr>
            <a:ln w="3150">
              <a:solidFill>
                <a:srgbClr val="000000"/>
              </a:solidFill>
              <a:prstDash val="solid"/>
            </a:ln>
          </c:spPr>
        </c:majorGridlines>
        <c:numFmt formatCode="General" sourceLinked="1"/>
        <c:majorTickMark val="in"/>
        <c:tickLblPos val="nextTo"/>
        <c:spPr>
          <a:ln w="3150">
            <a:solidFill>
              <a:srgbClr val="000000"/>
            </a:solidFill>
            <a:prstDash val="solid"/>
          </a:ln>
        </c:spPr>
        <c:txPr>
          <a:bodyPr rot="0" vert="horz"/>
          <a:lstStyle/>
          <a:p>
            <a:pPr>
              <a:defRPr sz="1191" b="0" i="0" u="none" strike="noStrike" baseline="0">
                <a:solidFill>
                  <a:srgbClr val="000000"/>
                </a:solidFill>
                <a:latin typeface="宋体"/>
                <a:ea typeface="宋体"/>
                <a:cs typeface="宋体"/>
              </a:defRPr>
            </a:pPr>
            <a:endParaRPr lang="zh-CN"/>
          </a:p>
        </c:txPr>
        <c:crossAx val="153867392"/>
        <c:crosses val="autoZero"/>
        <c:crossBetween val="between"/>
      </c:valAx>
      <c:spPr>
        <a:noFill/>
        <a:ln w="25203">
          <a:noFill/>
        </a:ln>
      </c:spPr>
    </c:plotArea>
    <c:legend>
      <c:legendPos val="r"/>
      <c:layout>
        <c:manualLayout>
          <c:xMode val="edge"/>
          <c:yMode val="edge"/>
          <c:x val="0.82687927107061565"/>
          <c:y val="0.42402826855123682"/>
          <c:w val="0.16400911161731221"/>
          <c:h val="0.15194346289753238"/>
        </c:manualLayout>
      </c:layout>
      <c:spPr>
        <a:noFill/>
        <a:ln w="3150">
          <a:solidFill>
            <a:srgbClr val="000000"/>
          </a:solidFill>
          <a:prstDash val="solid"/>
        </a:ln>
      </c:spPr>
      <c:txPr>
        <a:bodyPr/>
        <a:lstStyle/>
        <a:p>
          <a:pPr>
            <a:defRPr sz="1091"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1"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465373961218842"/>
          <c:y val="4.7619047619047623E-2"/>
          <c:w val="0.68144044321330433"/>
          <c:h val="0.80086580086580084"/>
        </c:manualLayout>
      </c:layout>
      <c:bar3DChart>
        <c:barDir val="col"/>
        <c:grouping val="clustered"/>
        <c:ser>
          <c:idx val="0"/>
          <c:order val="0"/>
          <c:tx>
            <c:strRef>
              <c:f>Sheet1!$A$2</c:f>
              <c:strCache>
                <c:ptCount val="1"/>
                <c:pt idx="0">
                  <c:v>2020</c:v>
                </c:pt>
              </c:strCache>
            </c:strRef>
          </c:tx>
          <c:spPr>
            <a:solidFill>
              <a:srgbClr val="9999FF"/>
            </a:solidFill>
            <a:ln w="12614">
              <a:solidFill>
                <a:srgbClr val="000000"/>
              </a:solidFill>
              <a:prstDash val="solid"/>
            </a:ln>
          </c:spPr>
          <c:dLbls>
            <c:dLbl>
              <c:idx val="0"/>
              <c:layout>
                <c:manualLayout>
                  <c:x val="0"/>
                  <c:y val="-3.3158331030671458E-2"/>
                </c:manualLayout>
              </c:layout>
              <c:showVal val="1"/>
            </c:dLbl>
            <c:spPr>
              <a:noFill/>
              <a:ln w="25228">
                <a:noFill/>
              </a:ln>
            </c:spPr>
            <c:txPr>
              <a:bodyPr/>
              <a:lstStyle/>
              <a:p>
                <a:pPr>
                  <a:defRPr sz="1142"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Sheet1!$B$2:$D$2</c:f>
              <c:numCache>
                <c:formatCode>General</c:formatCode>
                <c:ptCount val="2"/>
                <c:pt idx="0">
                  <c:v>5681.52</c:v>
                </c:pt>
              </c:numCache>
            </c:numRef>
          </c:val>
        </c:ser>
        <c:ser>
          <c:idx val="1"/>
          <c:order val="1"/>
          <c:tx>
            <c:strRef>
              <c:f>Sheet1!$A$3</c:f>
              <c:strCache>
                <c:ptCount val="1"/>
                <c:pt idx="0">
                  <c:v>2021</c:v>
                </c:pt>
              </c:strCache>
            </c:strRef>
          </c:tx>
          <c:spPr>
            <a:solidFill>
              <a:srgbClr val="993366"/>
            </a:solidFill>
            <a:ln w="12614">
              <a:solidFill>
                <a:srgbClr val="000000"/>
              </a:solidFill>
              <a:prstDash val="solid"/>
            </a:ln>
          </c:spPr>
          <c:dLbls>
            <c:spPr>
              <a:noFill/>
              <a:ln w="25228">
                <a:noFill/>
              </a:ln>
            </c:spPr>
            <c:txPr>
              <a:bodyPr/>
              <a:lstStyle/>
              <a:p>
                <a:pPr>
                  <a:defRPr sz="1142"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Sheet1!$B$3:$D$3</c:f>
              <c:numCache>
                <c:formatCode>General</c:formatCode>
                <c:ptCount val="2"/>
                <c:pt idx="0">
                  <c:v>10629.03</c:v>
                </c:pt>
              </c:numCache>
            </c:numRef>
          </c:val>
        </c:ser>
        <c:dLbls>
          <c:showVal val="1"/>
        </c:dLbls>
        <c:gapDepth val="0"/>
        <c:shape val="box"/>
        <c:axId val="156860800"/>
        <c:axId val="156862720"/>
        <c:axId val="0"/>
      </c:bar3DChart>
      <c:catAx>
        <c:axId val="156860800"/>
        <c:scaling>
          <c:orientation val="minMax"/>
        </c:scaling>
        <c:axPos val="b"/>
        <c:numFmt formatCode="General" sourceLinked="1"/>
        <c:majorTickMark val="in"/>
        <c:tickLblPos val="low"/>
        <c:spPr>
          <a:ln w="3154">
            <a:solidFill>
              <a:srgbClr val="000000"/>
            </a:solidFill>
            <a:prstDash val="solid"/>
          </a:ln>
        </c:spPr>
        <c:txPr>
          <a:bodyPr rot="0" vert="horz"/>
          <a:lstStyle/>
          <a:p>
            <a:pPr>
              <a:defRPr sz="1142" b="0" i="0" u="none" strike="noStrike" baseline="0">
                <a:solidFill>
                  <a:srgbClr val="000000"/>
                </a:solidFill>
                <a:latin typeface="宋体"/>
                <a:ea typeface="宋体"/>
                <a:cs typeface="宋体"/>
              </a:defRPr>
            </a:pPr>
            <a:endParaRPr lang="zh-CN"/>
          </a:p>
        </c:txPr>
        <c:crossAx val="156862720"/>
        <c:crosses val="autoZero"/>
        <c:auto val="1"/>
        <c:lblAlgn val="ctr"/>
        <c:lblOffset val="100"/>
        <c:tickLblSkip val="1"/>
        <c:tickMarkSkip val="1"/>
      </c:catAx>
      <c:valAx>
        <c:axId val="156862720"/>
        <c:scaling>
          <c:orientation val="minMax"/>
        </c:scaling>
        <c:axPos val="l"/>
        <c:majorGridlines>
          <c:spPr>
            <a:ln w="3154">
              <a:solidFill>
                <a:srgbClr val="000000"/>
              </a:solidFill>
              <a:prstDash val="solid"/>
            </a:ln>
          </c:spPr>
        </c:majorGridlines>
        <c:numFmt formatCode="General" sourceLinked="1"/>
        <c:majorTickMark val="in"/>
        <c:tickLblPos val="nextTo"/>
        <c:spPr>
          <a:ln w="3154">
            <a:solidFill>
              <a:srgbClr val="000000"/>
            </a:solidFill>
            <a:prstDash val="solid"/>
          </a:ln>
        </c:spPr>
        <c:txPr>
          <a:bodyPr rot="0" vert="horz"/>
          <a:lstStyle/>
          <a:p>
            <a:pPr>
              <a:defRPr sz="1142" b="0" i="0" u="none" strike="noStrike" baseline="0">
                <a:solidFill>
                  <a:srgbClr val="000000"/>
                </a:solidFill>
                <a:latin typeface="宋体"/>
                <a:ea typeface="宋体"/>
                <a:cs typeface="宋体"/>
              </a:defRPr>
            </a:pPr>
            <a:endParaRPr lang="zh-CN"/>
          </a:p>
        </c:txPr>
        <c:crossAx val="156860800"/>
        <c:crosses val="autoZero"/>
        <c:crossBetween val="between"/>
      </c:valAx>
      <c:spPr>
        <a:noFill/>
        <a:ln w="25228">
          <a:noFill/>
        </a:ln>
      </c:spPr>
    </c:plotArea>
    <c:legend>
      <c:legendPos val="r"/>
      <c:layout>
        <c:manualLayout>
          <c:xMode val="edge"/>
          <c:yMode val="edge"/>
          <c:x val="0.83656509695290859"/>
          <c:y val="0.41125541125541132"/>
          <c:w val="0.1523545706371191"/>
          <c:h val="0.17748917748917944"/>
        </c:manualLayout>
      </c:layout>
      <c:spPr>
        <a:noFill/>
        <a:ln w="3154">
          <a:solidFill>
            <a:srgbClr val="000000"/>
          </a:solidFill>
          <a:prstDash val="solid"/>
        </a:ln>
      </c:spPr>
      <c:txPr>
        <a:bodyPr/>
        <a:lstStyle/>
        <a:p>
          <a:pPr>
            <a:defRPr sz="1048"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42"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3271636499982968E-2"/>
          <c:y val="0.23450624404433582"/>
          <c:w val="0.44426855733942444"/>
          <c:h val="0.65366902385609682"/>
        </c:manualLayout>
      </c:layout>
      <c:pieChart>
        <c:varyColors val="1"/>
        <c:ser>
          <c:idx val="0"/>
          <c:order val="0"/>
          <c:tx>
            <c:strRef>
              <c:f>Sheet1!$A$2</c:f>
              <c:strCache>
                <c:ptCount val="1"/>
                <c:pt idx="0">
                  <c:v>2021年一般公共预算财政拨款支出决算</c:v>
                </c:pt>
              </c:strCache>
            </c:strRef>
          </c:tx>
          <c:spPr>
            <a:solidFill>
              <a:srgbClr val="9999FF"/>
            </a:solidFill>
            <a:ln w="12590">
              <a:solidFill>
                <a:srgbClr val="000000"/>
              </a:solidFill>
              <a:prstDash val="solid"/>
            </a:ln>
          </c:spPr>
          <c:dPt>
            <c:idx val="1"/>
            <c:spPr>
              <a:solidFill>
                <a:srgbClr val="993366"/>
              </a:solidFill>
              <a:ln w="12590">
                <a:solidFill>
                  <a:srgbClr val="000000"/>
                </a:solidFill>
                <a:prstDash val="solid"/>
              </a:ln>
            </c:spPr>
          </c:dPt>
          <c:dPt>
            <c:idx val="2"/>
            <c:spPr>
              <a:solidFill>
                <a:srgbClr val="FFFFCC"/>
              </a:solidFill>
              <a:ln w="12590">
                <a:solidFill>
                  <a:srgbClr val="000000"/>
                </a:solidFill>
                <a:prstDash val="solid"/>
              </a:ln>
            </c:spPr>
          </c:dPt>
          <c:dPt>
            <c:idx val="3"/>
            <c:spPr>
              <a:solidFill>
                <a:srgbClr val="CCFFFF"/>
              </a:solidFill>
              <a:ln w="12590">
                <a:solidFill>
                  <a:srgbClr val="000000"/>
                </a:solidFill>
                <a:prstDash val="solid"/>
              </a:ln>
            </c:spPr>
          </c:dPt>
          <c:dPt>
            <c:idx val="4"/>
            <c:spPr>
              <a:solidFill>
                <a:srgbClr val="660066"/>
              </a:solidFill>
              <a:ln w="12590">
                <a:solidFill>
                  <a:srgbClr val="000000"/>
                </a:solidFill>
                <a:prstDash val="solid"/>
              </a:ln>
            </c:spPr>
          </c:dPt>
          <c:dLbls>
            <c:dLbl>
              <c:idx val="0"/>
              <c:layout>
                <c:manualLayout>
                  <c:x val="0.26730999534149252"/>
                  <c:y val="-1.5743016199408193E-2"/>
                </c:manualLayout>
              </c:layout>
              <c:showVal val="1"/>
              <c:showPercent val="1"/>
            </c:dLbl>
            <c:dLbl>
              <c:idx val="2"/>
              <c:layout>
                <c:manualLayout>
                  <c:x val="-3.6031859653907011E-2"/>
                  <c:y val="9.1578648210375008E-2"/>
                </c:manualLayout>
              </c:layout>
              <c:showVal val="1"/>
              <c:showPercent val="1"/>
            </c:dLbl>
            <c:dLbl>
              <c:idx val="3"/>
              <c:layout>
                <c:manualLayout>
                  <c:x val="-2.4403994955176082E-2"/>
                  <c:y val="-2.7760670043633081E-2"/>
                </c:manualLayout>
              </c:layout>
              <c:showVal val="1"/>
              <c:showPercent val="1"/>
            </c:dLbl>
            <c:dLbl>
              <c:idx val="4"/>
              <c:layout>
                <c:manualLayout>
                  <c:x val="6.9899671631955124E-2"/>
                  <c:y val="-5.7516090743434431E-2"/>
                </c:manualLayout>
              </c:layout>
              <c:showVal val="1"/>
              <c:showPercent val="1"/>
            </c:dLbl>
            <c:numFmt formatCode="0.00%" sourceLinked="0"/>
            <c:spPr>
              <a:noFill/>
              <a:ln w="25181">
                <a:noFill/>
              </a:ln>
            </c:spPr>
            <c:txPr>
              <a:bodyPr/>
              <a:lstStyle/>
              <a:p>
                <a:pPr>
                  <a:defRPr sz="1190" b="0" i="0" u="none" strike="noStrike" baseline="0">
                    <a:solidFill>
                      <a:srgbClr val="000000"/>
                    </a:solidFill>
                    <a:latin typeface="宋体"/>
                    <a:ea typeface="宋体"/>
                    <a:cs typeface="宋体"/>
                  </a:defRPr>
                </a:pPr>
                <a:endParaRPr lang="zh-CN"/>
              </a:p>
            </c:txPr>
            <c:showVal val="1"/>
            <c:showPercent val="1"/>
            <c:showLeaderLines val="1"/>
          </c:dLbls>
          <c:cat>
            <c:strRef>
              <c:f>Sheet1!$B$1:$G$1</c:f>
              <c:strCache>
                <c:ptCount val="6"/>
                <c:pt idx="0">
                  <c:v>一般公共服务支出（类）</c:v>
                </c:pt>
                <c:pt idx="1">
                  <c:v>公共安全支出（类）</c:v>
                </c:pt>
                <c:pt idx="2">
                  <c:v>社会保障和就业支出（类）</c:v>
                </c:pt>
                <c:pt idx="3">
                  <c:v>卫生健康支出(类）</c:v>
                </c:pt>
                <c:pt idx="4">
                  <c:v>住房保障支出（类）</c:v>
                </c:pt>
                <c:pt idx="5">
                  <c:v>其他支出(类）</c:v>
                </c:pt>
              </c:strCache>
            </c:strRef>
          </c:cat>
          <c:val>
            <c:numRef>
              <c:f>Sheet1!$B$2:$G$2</c:f>
              <c:numCache>
                <c:formatCode>General</c:formatCode>
                <c:ptCount val="6"/>
                <c:pt idx="0">
                  <c:v>4.46</c:v>
                </c:pt>
                <c:pt idx="1">
                  <c:v>9430.8799999999555</c:v>
                </c:pt>
                <c:pt idx="2">
                  <c:v>395.54</c:v>
                </c:pt>
                <c:pt idx="3">
                  <c:v>188.49</c:v>
                </c:pt>
                <c:pt idx="4">
                  <c:v>399.65000000000032</c:v>
                </c:pt>
                <c:pt idx="5">
                  <c:v>210</c:v>
                </c:pt>
              </c:numCache>
            </c:numRef>
          </c:val>
        </c:ser>
        <c:dLbls>
          <c:showPercent val="1"/>
        </c:dLbls>
        <c:firstSliceAng val="0"/>
      </c:pieChart>
      <c:spPr>
        <a:solidFill>
          <a:srgbClr val="C0C0C0"/>
        </a:solidFill>
        <a:ln w="12590">
          <a:solidFill>
            <a:srgbClr val="808080"/>
          </a:solidFill>
          <a:prstDash val="solid"/>
        </a:ln>
      </c:spPr>
    </c:plotArea>
    <c:legend>
      <c:legendPos val="r"/>
      <c:layout>
        <c:manualLayout>
          <c:xMode val="edge"/>
          <c:yMode val="edge"/>
          <c:x val="0.65410199556542026"/>
          <c:y val="0"/>
          <c:w val="0.33702882483371055"/>
          <c:h val="0.9575371549893843"/>
        </c:manualLayout>
      </c:layout>
      <c:spPr>
        <a:noFill/>
        <a:ln w="3148">
          <a:solidFill>
            <a:srgbClr val="000000"/>
          </a:solidFill>
          <a:prstDash val="solid"/>
        </a:ln>
      </c:spPr>
      <c:txPr>
        <a:bodyPr/>
        <a:lstStyle/>
        <a:p>
          <a:pPr>
            <a:defRPr sz="1091"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0"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110236220472442"/>
          <c:y val="0.22729811256892407"/>
          <c:w val="0.33874992473859206"/>
          <c:h val="0.57901344963305668"/>
        </c:manualLayout>
      </c:layout>
      <c:pieChart>
        <c:varyColors val="1"/>
        <c:ser>
          <c:idx val="0"/>
          <c:order val="0"/>
          <c:tx>
            <c:strRef>
              <c:f>Sheet1!$A$2</c:f>
              <c:strCache>
                <c:ptCount val="1"/>
                <c:pt idx="0">
                  <c:v>2021年</c:v>
                </c:pt>
              </c:strCache>
            </c:strRef>
          </c:tx>
          <c:spPr>
            <a:solidFill>
              <a:srgbClr val="9999FF"/>
            </a:solidFill>
            <a:ln w="12629">
              <a:solidFill>
                <a:srgbClr val="000000"/>
              </a:solidFill>
              <a:prstDash val="solid"/>
            </a:ln>
          </c:spPr>
          <c:dPt>
            <c:idx val="1"/>
            <c:spPr>
              <a:solidFill>
                <a:srgbClr val="993366"/>
              </a:solidFill>
              <a:ln w="12629">
                <a:solidFill>
                  <a:srgbClr val="000000"/>
                </a:solidFill>
                <a:prstDash val="solid"/>
              </a:ln>
            </c:spPr>
          </c:dPt>
          <c:dPt>
            <c:idx val="2"/>
            <c:spPr>
              <a:solidFill>
                <a:srgbClr val="FFFFCC"/>
              </a:solidFill>
              <a:ln w="12629">
                <a:solidFill>
                  <a:srgbClr val="000000"/>
                </a:solidFill>
                <a:prstDash val="solid"/>
              </a:ln>
            </c:spPr>
          </c:dPt>
          <c:dLbls>
            <c:dLbl>
              <c:idx val="0"/>
              <c:layout>
                <c:manualLayout>
                  <c:x val="8.0702306009539843E-2"/>
                  <c:y val="-2.2514242065951456E-2"/>
                </c:manualLayout>
              </c:layout>
              <c:showVal val="1"/>
              <c:showPercent val="1"/>
            </c:dLbl>
            <c:dLbl>
              <c:idx val="2"/>
              <c:layout>
                <c:manualLayout>
                  <c:x val="-7.5090414038092607E-2"/>
                  <c:y val="-1.3700741662302453E-2"/>
                </c:manualLayout>
              </c:layout>
              <c:showVal val="1"/>
              <c:showPercent val="1"/>
            </c:dLbl>
            <c:numFmt formatCode="0.00%" sourceLinked="0"/>
            <c:spPr>
              <a:noFill/>
              <a:ln w="25259">
                <a:noFill/>
              </a:ln>
            </c:spPr>
            <c:txPr>
              <a:bodyPr/>
              <a:lstStyle/>
              <a:p>
                <a:pPr>
                  <a:defRPr sz="1069" b="0" i="0" u="none" strike="noStrike" baseline="0">
                    <a:solidFill>
                      <a:srgbClr val="000000"/>
                    </a:solidFill>
                    <a:latin typeface="宋体"/>
                    <a:ea typeface="宋体"/>
                    <a:cs typeface="宋体"/>
                  </a:defRPr>
                </a:pPr>
                <a:endParaRPr lang="zh-CN"/>
              </a:p>
            </c:txPr>
            <c:showVal val="1"/>
            <c:showPercent val="1"/>
            <c:showLeaderLines val="1"/>
          </c:dLbls>
          <c:cat>
            <c:strRef>
              <c:f>Sheet1!$B$1:$D$1</c:f>
              <c:strCache>
                <c:ptCount val="3"/>
                <c:pt idx="0">
                  <c:v>因公出国（境）</c:v>
                </c:pt>
                <c:pt idx="1">
                  <c:v>公务用车购置及运行维护费</c:v>
                </c:pt>
                <c:pt idx="2">
                  <c:v>公务接待</c:v>
                </c:pt>
              </c:strCache>
            </c:strRef>
          </c:cat>
          <c:val>
            <c:numRef>
              <c:f>Sheet1!$B$2:$D$2</c:f>
              <c:numCache>
                <c:formatCode>General</c:formatCode>
                <c:ptCount val="3"/>
                <c:pt idx="0">
                  <c:v>0</c:v>
                </c:pt>
                <c:pt idx="1">
                  <c:v>88.32</c:v>
                </c:pt>
                <c:pt idx="2">
                  <c:v>0.84000000000000064</c:v>
                </c:pt>
              </c:numCache>
            </c:numRef>
          </c:val>
        </c:ser>
        <c:dLbls>
          <c:showVal val="1"/>
        </c:dLbls>
        <c:firstSliceAng val="0"/>
      </c:pieChart>
      <c:spPr>
        <a:solidFill>
          <a:srgbClr val="C0C0C0"/>
        </a:solidFill>
        <a:ln w="12629">
          <a:solidFill>
            <a:srgbClr val="808080"/>
          </a:solidFill>
          <a:prstDash val="solid"/>
        </a:ln>
      </c:spPr>
    </c:plotArea>
    <c:legend>
      <c:legendPos val="r"/>
      <c:layout>
        <c:manualLayout>
          <c:xMode val="edge"/>
          <c:yMode val="edge"/>
          <c:x val="0.67454068241471399"/>
          <c:y val="0.25570776255707761"/>
          <c:w val="0.31496062992126794"/>
          <c:h val="0.48401826484018706"/>
        </c:manualLayout>
      </c:layout>
      <c:spPr>
        <a:noFill/>
        <a:ln w="3157">
          <a:solidFill>
            <a:srgbClr val="000000"/>
          </a:solidFill>
          <a:prstDash val="solid"/>
        </a:ln>
      </c:spPr>
      <c:txPr>
        <a:bodyPr/>
        <a:lstStyle/>
        <a:p>
          <a:pPr>
            <a:defRPr sz="980"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069" b="0" i="0" u="none" strike="noStrike" baseline="0">
          <a:solidFill>
            <a:srgbClr val="000000"/>
          </a:solidFill>
          <a:latin typeface="宋体"/>
          <a:ea typeface="宋体"/>
          <a:cs typeface="宋体"/>
        </a:defRPr>
      </a:pPr>
      <a:endParaRPr lang="zh-CN"/>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5194"/>
    <w:rsid w:val="0035772A"/>
    <w:rsid w:val="004D5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619933CDE0433AA1EB15B9756A1185">
    <w:name w:val="8C619933CDE0433AA1EB15B9756A1185"/>
    <w:rsid w:val="004D519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F6F3C-2D45-41FD-ABE2-18E15CC6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2147</Words>
  <Characters>12242</Characters>
  <Application>Microsoft Office Word</Application>
  <DocSecurity>0</DocSecurity>
  <Lines>102</Lines>
  <Paragraphs>28</Paragraphs>
  <ScaleCrop>false</ScaleCrop>
  <Company>四川省财政厅</Company>
  <LinksUpToDate>false</LinksUpToDate>
  <CharactersWithSpaces>14361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1</cp:lastModifiedBy>
  <cp:revision>10</cp:revision>
  <cp:lastPrinted>2021-08-17T08:06:00Z</cp:lastPrinted>
  <dcterms:created xsi:type="dcterms:W3CDTF">2023-09-21T00:42:00Z</dcterms:created>
  <dcterms:modified xsi:type="dcterms:W3CDTF">2023-09-21T07:20:00Z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