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8B" w:rsidRDefault="00F8018B">
      <w:pPr>
        <w:spacing w:line="600" w:lineRule="exact"/>
        <w:jc w:val="left"/>
        <w:outlineLvl w:val="0"/>
        <w:rPr>
          <w:rFonts w:ascii="方正小标宋简体" w:eastAsia="方正小标宋简体" w:hAnsi="宋体"/>
          <w:color w:val="000000"/>
          <w:sz w:val="30"/>
          <w:szCs w:val="30"/>
        </w:rPr>
      </w:pPr>
      <w:bookmarkStart w:id="0" w:name="_Toc15306267"/>
    </w:p>
    <w:p w:rsidR="00F8018B" w:rsidRDefault="00F8018B">
      <w:pPr>
        <w:spacing w:line="600" w:lineRule="exact"/>
        <w:jc w:val="center"/>
        <w:outlineLvl w:val="0"/>
        <w:rPr>
          <w:rFonts w:ascii="方正小标宋简体" w:eastAsia="方正小标宋简体" w:hAnsi="宋体"/>
          <w:color w:val="000000"/>
          <w:sz w:val="72"/>
          <w:szCs w:val="72"/>
        </w:rPr>
      </w:pPr>
    </w:p>
    <w:p w:rsidR="00F8018B" w:rsidRDefault="00F8018B">
      <w:pPr>
        <w:spacing w:line="600" w:lineRule="exact"/>
        <w:jc w:val="center"/>
        <w:outlineLvl w:val="0"/>
        <w:rPr>
          <w:rFonts w:ascii="方正小标宋简体" w:eastAsia="方正小标宋简体" w:hAnsi="宋体"/>
          <w:color w:val="000000"/>
          <w:sz w:val="72"/>
          <w:szCs w:val="72"/>
        </w:rPr>
      </w:pPr>
    </w:p>
    <w:p w:rsidR="00F8018B" w:rsidRDefault="00F8018B">
      <w:pPr>
        <w:spacing w:line="600" w:lineRule="exact"/>
        <w:jc w:val="center"/>
        <w:outlineLvl w:val="0"/>
        <w:rPr>
          <w:rFonts w:ascii="方正小标宋简体" w:eastAsia="方正小标宋简体" w:hAnsi="宋体"/>
          <w:color w:val="000000"/>
          <w:sz w:val="72"/>
          <w:szCs w:val="72"/>
        </w:rPr>
      </w:pPr>
    </w:p>
    <w:p w:rsidR="00F8018B" w:rsidRDefault="00E11388">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96597"/>
      <w:bookmarkStart w:id="5" w:name="_Toc15377425"/>
      <w:r>
        <w:rPr>
          <w:rFonts w:ascii="黑体" w:eastAsia="黑体" w:hAnsi="黑体"/>
          <w:sz w:val="72"/>
          <w:szCs w:val="72"/>
        </w:rPr>
        <w:t>20</w:t>
      </w:r>
      <w:r>
        <w:rPr>
          <w:rFonts w:ascii="黑体" w:eastAsia="黑体" w:hAnsi="黑体" w:hint="eastAsia"/>
          <w:sz w:val="72"/>
          <w:szCs w:val="72"/>
        </w:rPr>
        <w:t>21</w:t>
      </w:r>
      <w:r>
        <w:rPr>
          <w:rFonts w:ascii="方正小标宋简体" w:eastAsia="方正小标宋简体" w:hAnsi="宋体" w:hint="eastAsia"/>
          <w:sz w:val="72"/>
          <w:szCs w:val="72"/>
        </w:rPr>
        <w:t>年度</w:t>
      </w:r>
      <w:bookmarkEnd w:id="1"/>
      <w:bookmarkEnd w:id="2"/>
      <w:bookmarkEnd w:id="3"/>
      <w:bookmarkEnd w:id="4"/>
      <w:bookmarkEnd w:id="5"/>
    </w:p>
    <w:p w:rsidR="00F8018B" w:rsidRDefault="00E11388">
      <w:pPr>
        <w:adjustRightInd w:val="0"/>
        <w:snapToGrid w:val="0"/>
        <w:spacing w:line="360" w:lineRule="auto"/>
        <w:jc w:val="center"/>
        <w:outlineLvl w:val="0"/>
        <w:rPr>
          <w:rFonts w:ascii="方正小标宋简体" w:eastAsia="方正小标宋简体" w:hAnsi="宋体"/>
          <w:sz w:val="72"/>
          <w:szCs w:val="72"/>
        </w:rPr>
      </w:pPr>
      <w:bookmarkStart w:id="6" w:name="_Toc15378442"/>
      <w:bookmarkStart w:id="7" w:name="_Toc15377426"/>
      <w:bookmarkStart w:id="8" w:name="_Toc15396476"/>
      <w:bookmarkStart w:id="9" w:name="_Toc15377194"/>
      <w:bookmarkStart w:id="10" w:name="_Toc15396598"/>
      <w:r>
        <w:rPr>
          <w:rFonts w:ascii="方正小标宋简体" w:eastAsia="方正小标宋简体" w:hAnsi="宋体" w:hint="eastAsia"/>
          <w:sz w:val="72"/>
          <w:szCs w:val="72"/>
        </w:rPr>
        <w:t>四川</w:t>
      </w:r>
      <w:bookmarkStart w:id="11" w:name="_Toc15306268"/>
      <w:bookmarkEnd w:id="0"/>
      <w:r>
        <w:rPr>
          <w:rFonts w:ascii="方正小标宋简体" w:eastAsia="方正小标宋简体" w:hAnsi="宋体" w:hint="eastAsia"/>
          <w:sz w:val="72"/>
          <w:szCs w:val="72"/>
        </w:rPr>
        <w:t>省政法研究所</w:t>
      </w:r>
    </w:p>
    <w:p w:rsidR="00F8018B" w:rsidRDefault="00E11388">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单位决算</w:t>
      </w:r>
      <w:bookmarkEnd w:id="6"/>
      <w:bookmarkEnd w:id="7"/>
      <w:bookmarkEnd w:id="8"/>
      <w:bookmarkEnd w:id="9"/>
      <w:bookmarkEnd w:id="10"/>
      <w:bookmarkEnd w:id="11"/>
    </w:p>
    <w:p w:rsidR="00F8018B" w:rsidRDefault="00E1138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F8018B" w:rsidRDefault="00F8018B">
      <w:pPr>
        <w:widowControl/>
        <w:jc w:val="center"/>
        <w:rPr>
          <w:rFonts w:ascii="黑体" w:eastAsia="黑体" w:hAnsi="黑体" w:cstheme="minorBidi"/>
          <w:sz w:val="28"/>
          <w:szCs w:val="28"/>
        </w:rPr>
      </w:pPr>
    </w:p>
    <w:p w:rsidR="00F8018B" w:rsidRDefault="00E11388">
      <w:pPr>
        <w:pStyle w:val="10"/>
      </w:pPr>
      <w:r>
        <w:rPr>
          <w:rFonts w:hint="eastAsia"/>
        </w:rPr>
        <w:t>公开时间：2022年9月9日</w:t>
      </w:r>
    </w:p>
    <w:p w:rsidR="00F8018B" w:rsidRDefault="00F8018B"/>
    <w:p w:rsidR="00F8018B" w:rsidRDefault="00E1138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sz w:val="24"/>
        </w:rPr>
        <w:tab/>
        <w:t>4</w:t>
      </w:r>
    </w:p>
    <w:p w:rsidR="00F8018B" w:rsidRDefault="00E11388">
      <w:pPr>
        <w:pStyle w:val="20"/>
        <w:adjustRightInd w:val="0"/>
        <w:snapToGrid w:val="0"/>
        <w:spacing w:line="440" w:lineRule="exact"/>
        <w:jc w:val="left"/>
        <w:rPr>
          <w:sz w:val="24"/>
        </w:rPr>
      </w:pPr>
      <w:r>
        <w:rPr>
          <w:rFonts w:hint="eastAsia"/>
          <w:sz w:val="24"/>
        </w:rPr>
        <w:t>一、职能简介</w:t>
      </w:r>
      <w:r>
        <w:rPr>
          <w:rFonts w:hint="eastAsia"/>
          <w:sz w:val="24"/>
        </w:rPr>
        <w:tab/>
        <w:t>4</w:t>
      </w:r>
    </w:p>
    <w:p w:rsidR="00F8018B" w:rsidRDefault="00E1138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二、2021年重点工作完成情况</w:t>
      </w:r>
      <w:r>
        <w:rPr>
          <w:rFonts w:hint="eastAsia"/>
          <w:sz w:val="24"/>
        </w:rPr>
        <w:tab/>
        <w:t>4</w:t>
      </w:r>
    </w:p>
    <w:p w:rsidR="001237B6" w:rsidRDefault="001237B6" w:rsidP="001237B6">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三、机构设置情况</w:t>
      </w:r>
      <w:r>
        <w:rPr>
          <w:rFonts w:hint="eastAsia"/>
          <w:sz w:val="24"/>
        </w:rPr>
        <w:tab/>
        <w:t>4</w:t>
      </w:r>
    </w:p>
    <w:p w:rsidR="00F8018B" w:rsidRPr="008B7B52" w:rsidRDefault="00E11388">
      <w:pPr>
        <w:pStyle w:val="10"/>
        <w:adjustRightInd w:val="0"/>
        <w:snapToGrid w:val="0"/>
        <w:spacing w:before="0" w:line="440" w:lineRule="exact"/>
        <w:jc w:val="left"/>
        <w:rPr>
          <w:rFonts w:ascii="Times New Roman" w:eastAsia="宋体" w:hAnsi="Times New Roman"/>
          <w:sz w:val="24"/>
          <w:szCs w:val="24"/>
        </w:rPr>
      </w:pPr>
      <w:r>
        <w:rPr>
          <w:rFonts w:hint="eastAsia"/>
          <w:sz w:val="24"/>
        </w:rPr>
        <w:t>第二部分 2021年度单位决算情况说明</w:t>
      </w:r>
      <w:r>
        <w:rPr>
          <w:rFonts w:hint="eastAsia"/>
          <w:sz w:val="24"/>
        </w:rPr>
        <w:tab/>
      </w:r>
      <w:r w:rsidRPr="008B7B52">
        <w:rPr>
          <w:rFonts w:ascii="Times New Roman" w:eastAsia="宋体" w:hAnsi="Times New Roman" w:hint="eastAsia"/>
          <w:sz w:val="24"/>
          <w:szCs w:val="24"/>
        </w:rPr>
        <w:t>5</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rFonts w:hint="eastAsia"/>
          <w:sz w:val="24"/>
        </w:rPr>
        <w:tab/>
        <w:t>5</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rFonts w:hint="eastAsia"/>
          <w:sz w:val="24"/>
        </w:rPr>
        <w:tab/>
        <w:t>5</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rFonts w:hint="eastAsia"/>
          <w:sz w:val="24"/>
        </w:rPr>
        <w:tab/>
        <w:t>6</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hint="eastAsia"/>
          <w:sz w:val="24"/>
        </w:rPr>
        <w:tab/>
        <w:t>6</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rFonts w:hint="eastAsia"/>
          <w:sz w:val="24"/>
        </w:rPr>
        <w:tab/>
        <w:t>7</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Pr>
          <w:rFonts w:hint="eastAsia"/>
          <w:sz w:val="24"/>
        </w:rPr>
        <w:tab/>
        <w:t>10</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Pr>
          <w:rFonts w:hint="eastAsia"/>
          <w:sz w:val="24"/>
        </w:rPr>
        <w:tab/>
        <w:t>10</w:t>
      </w:r>
    </w:p>
    <w:p w:rsidR="00F8018B" w:rsidRDefault="00E1138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Pr>
          <w:rFonts w:hint="eastAsia"/>
          <w:sz w:val="24"/>
        </w:rPr>
        <w:tab/>
        <w:t>1</w:t>
      </w:r>
      <w:r w:rsidR="00F66372">
        <w:rPr>
          <w:rFonts w:hint="eastAsia"/>
          <w:sz w:val="24"/>
        </w:rPr>
        <w:t>2</w:t>
      </w:r>
    </w:p>
    <w:p w:rsidR="00F8018B" w:rsidRDefault="00E11388">
      <w:pPr>
        <w:pStyle w:val="20"/>
        <w:adjustRightInd w:val="0"/>
        <w:snapToGrid w:val="0"/>
        <w:spacing w:line="440" w:lineRule="exact"/>
        <w:jc w:val="left"/>
        <w:rPr>
          <w:sz w:val="24"/>
        </w:rPr>
      </w:pPr>
      <w:r>
        <w:rPr>
          <w:rFonts w:hint="eastAsia"/>
          <w:sz w:val="24"/>
        </w:rPr>
        <w:t>九、国有资本经营预算支出决算情况说明</w:t>
      </w:r>
      <w:r>
        <w:rPr>
          <w:rFonts w:hint="eastAsia"/>
          <w:sz w:val="24"/>
        </w:rPr>
        <w:tab/>
        <w:t>12</w:t>
      </w:r>
    </w:p>
    <w:p w:rsidR="00F8018B" w:rsidRDefault="00E11388">
      <w:pPr>
        <w:pStyle w:val="20"/>
        <w:adjustRightInd w:val="0"/>
        <w:snapToGrid w:val="0"/>
        <w:spacing w:line="440" w:lineRule="exact"/>
        <w:jc w:val="left"/>
        <w:rPr>
          <w:sz w:val="24"/>
        </w:rPr>
      </w:pPr>
      <w:r>
        <w:rPr>
          <w:rFonts w:hint="eastAsia"/>
          <w:sz w:val="24"/>
        </w:rPr>
        <w:t>十、其他重要事项的情况说明</w:t>
      </w:r>
      <w:r>
        <w:rPr>
          <w:rFonts w:hint="eastAsia"/>
          <w:sz w:val="24"/>
        </w:rPr>
        <w:tab/>
        <w:t>12</w:t>
      </w:r>
    </w:p>
    <w:p w:rsidR="00F8018B" w:rsidRDefault="00E1138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r>
      <w:r w:rsidRPr="008B7B52">
        <w:rPr>
          <w:rFonts w:ascii="Times New Roman" w:eastAsia="宋体" w:hAnsi="Times New Roman" w:hint="eastAsia"/>
          <w:sz w:val="24"/>
          <w:szCs w:val="24"/>
        </w:rPr>
        <w:t>1</w:t>
      </w:r>
      <w:r w:rsidR="00F66372">
        <w:rPr>
          <w:rFonts w:ascii="Times New Roman" w:eastAsia="宋体" w:hAnsi="Times New Roman" w:hint="eastAsia"/>
          <w:sz w:val="24"/>
          <w:szCs w:val="24"/>
        </w:rPr>
        <w:t>4</w:t>
      </w:r>
    </w:p>
    <w:p w:rsidR="00F8018B" w:rsidRDefault="00E1138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ab/>
      </w:r>
      <w:r w:rsidRPr="008B7B52">
        <w:rPr>
          <w:rFonts w:ascii="Times New Roman" w:eastAsia="宋体" w:hAnsi="Times New Roman" w:hint="eastAsia"/>
          <w:sz w:val="24"/>
          <w:szCs w:val="24"/>
        </w:rPr>
        <w:t>1</w:t>
      </w:r>
      <w:r w:rsidR="00F66372">
        <w:rPr>
          <w:rFonts w:ascii="Times New Roman" w:eastAsia="宋体" w:hAnsi="Times New Roman" w:hint="eastAsia"/>
          <w:sz w:val="24"/>
          <w:szCs w:val="24"/>
        </w:rPr>
        <w:t>6</w:t>
      </w:r>
    </w:p>
    <w:p w:rsidR="00F8018B" w:rsidRDefault="00E1138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ab/>
      </w:r>
      <w:r w:rsidRPr="008B7B52">
        <w:rPr>
          <w:rFonts w:ascii="Times New Roman" w:eastAsia="宋体" w:hAnsi="Times New Roman" w:hint="eastAsia"/>
          <w:sz w:val="24"/>
          <w:szCs w:val="24"/>
        </w:rPr>
        <w:t>1</w:t>
      </w:r>
      <w:r w:rsidR="00F66372">
        <w:rPr>
          <w:rFonts w:ascii="Times New Roman" w:eastAsia="宋体" w:hAnsi="Times New Roman" w:hint="eastAsia"/>
          <w:sz w:val="24"/>
          <w:szCs w:val="24"/>
        </w:rPr>
        <w:t>7</w:t>
      </w:r>
    </w:p>
    <w:p w:rsidR="00F8018B" w:rsidRDefault="00E11388">
      <w:pPr>
        <w:pStyle w:val="20"/>
        <w:adjustRightInd w:val="0"/>
        <w:snapToGrid w:val="0"/>
        <w:spacing w:line="440" w:lineRule="exact"/>
        <w:jc w:val="left"/>
        <w:rPr>
          <w:sz w:val="24"/>
        </w:rPr>
      </w:pPr>
      <w:r>
        <w:rPr>
          <w:rFonts w:hint="eastAsia"/>
          <w:sz w:val="24"/>
        </w:rPr>
        <w:t>一、收入支出决算总表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二、收入决算表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三、支出决算表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四、财政拨款收入支出决算总表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五、财政拨款支出决算明细表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六、一般公共预算财政拨款支出决算表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七、一般公共预算财政拨款支出决算明细表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八、一般公共预算财政拨款基本支出决算表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lastRenderedPageBreak/>
        <w:t>九、一般公共预算财政拨款项目支出决算表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十、一般公共预算财政拨款“三公”经费支出决算表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十一、政府性基金预算财政拨款收入支出决算表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十二、政府性基金预算财政拨款“三公”经费支出决算表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十三、国有资本经营预算财政拨款收入支出决算表</w:t>
      </w:r>
      <w:r>
        <w:rPr>
          <w:rFonts w:hint="eastAsia"/>
          <w:sz w:val="24"/>
        </w:rPr>
        <w:tab/>
      </w:r>
      <w:r w:rsidR="00F66372" w:rsidRPr="008B7B52">
        <w:rPr>
          <w:rFonts w:hint="eastAsia"/>
          <w:sz w:val="24"/>
        </w:rPr>
        <w:t>1</w:t>
      </w:r>
      <w:r w:rsidR="00F66372">
        <w:rPr>
          <w:rFonts w:hint="eastAsia"/>
          <w:sz w:val="24"/>
        </w:rPr>
        <w:t>7</w:t>
      </w:r>
    </w:p>
    <w:p w:rsidR="00F8018B" w:rsidRDefault="00E11388">
      <w:pPr>
        <w:pStyle w:val="20"/>
        <w:adjustRightInd w:val="0"/>
        <w:snapToGrid w:val="0"/>
        <w:spacing w:line="440" w:lineRule="exact"/>
        <w:jc w:val="left"/>
        <w:rPr>
          <w:sz w:val="24"/>
        </w:rPr>
      </w:pPr>
      <w:r>
        <w:rPr>
          <w:rFonts w:hint="eastAsia"/>
          <w:sz w:val="24"/>
        </w:rPr>
        <w:t>十四、国有资本经营预算财政拨款支出决算表</w:t>
      </w:r>
      <w:r>
        <w:rPr>
          <w:rFonts w:hint="eastAsia"/>
          <w:sz w:val="24"/>
        </w:rPr>
        <w:tab/>
      </w:r>
      <w:r w:rsidR="00F66372" w:rsidRPr="008B7B52">
        <w:rPr>
          <w:rFonts w:hint="eastAsia"/>
          <w:sz w:val="24"/>
        </w:rPr>
        <w:t>1</w:t>
      </w:r>
      <w:r w:rsidR="00F66372">
        <w:rPr>
          <w:rFonts w:hint="eastAsia"/>
          <w:sz w:val="24"/>
        </w:rPr>
        <w:t>7</w:t>
      </w:r>
    </w:p>
    <w:p w:rsidR="00F8018B" w:rsidRDefault="00F8018B">
      <w:pPr>
        <w:widowControl/>
        <w:adjustRightInd w:val="0"/>
        <w:snapToGrid w:val="0"/>
        <w:spacing w:line="440" w:lineRule="exact"/>
        <w:ind w:firstLineChars="550" w:firstLine="1320"/>
        <w:jc w:val="left"/>
        <w:rPr>
          <w:rFonts w:ascii="仿宋" w:eastAsia="仿宋" w:hAnsi="仿宋"/>
          <w:sz w:val="24"/>
          <w:highlight w:val="yellow"/>
        </w:rPr>
      </w:pPr>
    </w:p>
    <w:p w:rsidR="008B7B52" w:rsidRPr="008B7B52" w:rsidRDefault="00E11388" w:rsidP="008B7B52">
      <w:pPr>
        <w:widowControl/>
        <w:spacing w:line="440" w:lineRule="exact"/>
        <w:jc w:val="center"/>
        <w:rPr>
          <w:rFonts w:ascii="黑体" w:eastAsia="黑体" w:hAnsi="黑体"/>
          <w:kern w:val="44"/>
          <w:sz w:val="44"/>
          <w:szCs w:val="44"/>
        </w:rPr>
      </w:pPr>
      <w:bookmarkStart w:id="12" w:name="_Toc15377196"/>
      <w:bookmarkStart w:id="13" w:name="_Toc15396599"/>
      <w:r>
        <w:rPr>
          <w:rFonts w:ascii="仿宋" w:eastAsia="仿宋" w:hAnsi="仿宋"/>
          <w:b/>
          <w:sz w:val="24"/>
        </w:rPr>
        <w:br w:type="page"/>
      </w:r>
      <w:r w:rsidRPr="008B7B52">
        <w:rPr>
          <w:rFonts w:ascii="黑体" w:eastAsia="黑体" w:hAnsi="黑体" w:hint="eastAsia"/>
          <w:kern w:val="44"/>
          <w:sz w:val="44"/>
          <w:szCs w:val="44"/>
        </w:rPr>
        <w:lastRenderedPageBreak/>
        <w:t>第一部分 单位概况</w:t>
      </w:r>
      <w:bookmarkStart w:id="14" w:name="_Toc15396600"/>
      <w:bookmarkStart w:id="15" w:name="_Toc15377197"/>
      <w:bookmarkEnd w:id="12"/>
      <w:bookmarkEnd w:id="13"/>
    </w:p>
    <w:p w:rsidR="008B7B52" w:rsidRPr="008B7B52" w:rsidRDefault="008B7B52" w:rsidP="008B7B52">
      <w:pPr>
        <w:widowControl/>
        <w:spacing w:line="440" w:lineRule="exact"/>
        <w:ind w:firstLineChars="200" w:firstLine="640"/>
        <w:jc w:val="left"/>
        <w:rPr>
          <w:rStyle w:val="2Char"/>
          <w:rFonts w:ascii="黑体" w:eastAsia="黑体" w:hAnsi="黑体"/>
          <w:b w:val="0"/>
          <w:bCs w:val="0"/>
          <w:i/>
        </w:rPr>
      </w:pPr>
    </w:p>
    <w:p w:rsidR="008B7B52" w:rsidRDefault="008B7B52" w:rsidP="008B7B52">
      <w:pPr>
        <w:widowControl/>
        <w:spacing w:line="440" w:lineRule="exact"/>
        <w:ind w:firstLineChars="200" w:firstLine="640"/>
        <w:jc w:val="left"/>
        <w:rPr>
          <w:rStyle w:val="2Char"/>
          <w:rFonts w:ascii="黑体" w:eastAsia="黑体" w:hAnsi="黑体"/>
          <w:b w:val="0"/>
          <w:bCs w:val="0"/>
        </w:rPr>
      </w:pPr>
    </w:p>
    <w:p w:rsidR="00F8018B" w:rsidRPr="006B660D" w:rsidRDefault="00E11388" w:rsidP="006B660D">
      <w:pPr>
        <w:widowControl/>
        <w:adjustRightInd w:val="0"/>
        <w:snapToGrid w:val="0"/>
        <w:spacing w:line="560" w:lineRule="exact"/>
        <w:ind w:firstLineChars="200" w:firstLine="640"/>
        <w:jc w:val="left"/>
        <w:rPr>
          <w:rStyle w:val="2Char"/>
          <w:rFonts w:ascii="仿宋" w:eastAsia="仿宋" w:hAnsi="仿宋" w:cs="Times New Roman"/>
          <w:b w:val="0"/>
          <w:kern w:val="44"/>
        </w:rPr>
      </w:pPr>
      <w:r w:rsidRPr="006B660D">
        <w:rPr>
          <w:rStyle w:val="2Char"/>
          <w:rFonts w:ascii="黑体" w:eastAsia="黑体" w:hAnsi="黑体" w:hint="eastAsia"/>
          <w:b w:val="0"/>
          <w:bCs w:val="0"/>
        </w:rPr>
        <w:t>一、职能简介</w:t>
      </w:r>
    </w:p>
    <w:p w:rsidR="008B7B52" w:rsidRPr="006B660D" w:rsidRDefault="00E11388" w:rsidP="006B660D">
      <w:pPr>
        <w:pStyle w:val="a0"/>
        <w:adjustRightInd w:val="0"/>
        <w:snapToGrid w:val="0"/>
        <w:spacing w:before="93" w:line="560" w:lineRule="exact"/>
        <w:ind w:firstLineChars="200" w:firstLine="640"/>
        <w:rPr>
          <w:rFonts w:hAnsi="??" w:cs="宋体" w:hint="eastAsia"/>
          <w:sz w:val="32"/>
          <w:szCs w:val="32"/>
        </w:rPr>
      </w:pPr>
      <w:r w:rsidRPr="006B660D">
        <w:rPr>
          <w:rFonts w:hAnsi="??" w:cs="宋体" w:hint="eastAsia"/>
          <w:sz w:val="32"/>
          <w:szCs w:val="32"/>
        </w:rPr>
        <w:t xml:space="preserve">研究新的历史时期我省维护稳定、加强政法队伍建设、社会治安综合治理、反腐败和严厉打击各种犯罪、司法改革、司法监督等遇到的新情况、新问题，提出对策建议；研究司法实践中的具体法律适用问题，积极提出完善立法建议；及时推广交流我省政法战线的研究成果。  </w:t>
      </w:r>
    </w:p>
    <w:p w:rsidR="00F8018B" w:rsidRPr="006B660D" w:rsidRDefault="00E11388" w:rsidP="006B660D">
      <w:pPr>
        <w:pStyle w:val="a0"/>
        <w:adjustRightInd w:val="0"/>
        <w:snapToGrid w:val="0"/>
        <w:spacing w:before="93" w:line="560" w:lineRule="exact"/>
        <w:ind w:firstLineChars="200" w:firstLine="640"/>
        <w:rPr>
          <w:rFonts w:hAnsi="??" w:cs="宋体" w:hint="eastAsia"/>
          <w:sz w:val="32"/>
          <w:szCs w:val="32"/>
        </w:rPr>
      </w:pPr>
      <w:r w:rsidRPr="006B660D">
        <w:rPr>
          <w:rFonts w:ascii="黑体" w:eastAsia="黑体" w:hAnsi="黑体" w:hint="eastAsia"/>
          <w:sz w:val="32"/>
          <w:szCs w:val="32"/>
        </w:rPr>
        <w:t>二、2021年重点工作</w:t>
      </w:r>
      <w:bookmarkEnd w:id="14"/>
      <w:bookmarkEnd w:id="15"/>
      <w:r w:rsidRPr="006B660D">
        <w:rPr>
          <w:rFonts w:ascii="黑体" w:eastAsia="黑体" w:hAnsi="黑体" w:hint="eastAsia"/>
          <w:sz w:val="32"/>
          <w:szCs w:val="32"/>
        </w:rPr>
        <w:t>完成情况</w:t>
      </w:r>
    </w:p>
    <w:p w:rsidR="00F8018B" w:rsidRPr="006B660D" w:rsidRDefault="00E11388" w:rsidP="006B660D">
      <w:pPr>
        <w:adjustRightInd w:val="0"/>
        <w:snapToGrid w:val="0"/>
        <w:spacing w:line="560" w:lineRule="exact"/>
        <w:ind w:firstLineChars="200" w:firstLine="616"/>
        <w:rPr>
          <w:rFonts w:ascii="仿宋_GB2312" w:eastAsia="仿宋_GB2312"/>
          <w:spacing w:val="-6"/>
          <w:sz w:val="32"/>
          <w:szCs w:val="32"/>
        </w:rPr>
      </w:pPr>
      <w:r w:rsidRPr="006B660D">
        <w:rPr>
          <w:rFonts w:ascii="仿宋_GB2312" w:eastAsia="仿宋_GB2312" w:hint="eastAsia"/>
          <w:spacing w:val="-6"/>
          <w:sz w:val="32"/>
          <w:szCs w:val="32"/>
        </w:rPr>
        <w:t>2021年，在委</w:t>
      </w:r>
      <w:proofErr w:type="gramStart"/>
      <w:r w:rsidRPr="006B660D">
        <w:rPr>
          <w:rFonts w:ascii="仿宋_GB2312" w:eastAsia="仿宋_GB2312" w:hint="eastAsia"/>
          <w:spacing w:val="-6"/>
          <w:sz w:val="32"/>
          <w:szCs w:val="32"/>
        </w:rPr>
        <w:t>务</w:t>
      </w:r>
      <w:proofErr w:type="gramEnd"/>
      <w:r w:rsidRPr="006B660D">
        <w:rPr>
          <w:rFonts w:ascii="仿宋_GB2312" w:eastAsia="仿宋_GB2312" w:hint="eastAsia"/>
          <w:spacing w:val="-6"/>
          <w:sz w:val="32"/>
          <w:szCs w:val="32"/>
        </w:rPr>
        <w:t>会的坚强领导下，政法研究所强化政治担当，较好完成各项工作任务，有力服务保障政法全局工作。</w:t>
      </w:r>
    </w:p>
    <w:p w:rsidR="001237B6" w:rsidRPr="006B660D" w:rsidRDefault="00E11388" w:rsidP="006B660D">
      <w:pPr>
        <w:adjustRightInd w:val="0"/>
        <w:snapToGrid w:val="0"/>
        <w:spacing w:line="560" w:lineRule="exact"/>
        <w:ind w:firstLineChars="200" w:firstLine="616"/>
        <w:rPr>
          <w:rFonts w:eastAsia="仿宋_GB2312"/>
          <w:spacing w:val="-6"/>
          <w:sz w:val="32"/>
          <w:szCs w:val="32"/>
        </w:rPr>
      </w:pPr>
      <w:r w:rsidRPr="006B660D">
        <w:rPr>
          <w:rFonts w:ascii="黑体" w:eastAsia="黑体" w:hAnsi="黑体" w:hint="eastAsia"/>
          <w:spacing w:val="-6"/>
          <w:sz w:val="32"/>
          <w:szCs w:val="32"/>
        </w:rPr>
        <w:t>一、切实抓好调查研究工作。</w:t>
      </w:r>
      <w:r w:rsidRPr="006B660D">
        <w:rPr>
          <w:rFonts w:ascii="仿宋_GB2312" w:eastAsia="仿宋_GB2312" w:hint="eastAsia"/>
          <w:spacing w:val="-6"/>
          <w:sz w:val="32"/>
          <w:szCs w:val="32"/>
        </w:rPr>
        <w:t>积极发挥以文辅政职能作用，聚焦政法队伍教育整顿、平安四川建设、市</w:t>
      </w:r>
      <w:proofErr w:type="gramStart"/>
      <w:r w:rsidRPr="006B660D">
        <w:rPr>
          <w:rFonts w:ascii="仿宋_GB2312" w:eastAsia="仿宋_GB2312" w:hint="eastAsia"/>
          <w:spacing w:val="-6"/>
          <w:sz w:val="32"/>
          <w:szCs w:val="32"/>
        </w:rPr>
        <w:t>域社会</w:t>
      </w:r>
      <w:proofErr w:type="gramEnd"/>
      <w:r w:rsidRPr="006B660D">
        <w:rPr>
          <w:rFonts w:ascii="仿宋_GB2312" w:eastAsia="仿宋_GB2312" w:hint="eastAsia"/>
          <w:spacing w:val="-6"/>
          <w:sz w:val="32"/>
          <w:szCs w:val="32"/>
        </w:rPr>
        <w:t>治理现代化试点、扫黑除恶常态化等重点工作，积极开展政策理论研究，起草各类调研报告、专题报告、工作方案、会议讲话等60余份，</w:t>
      </w:r>
      <w:r w:rsidRPr="006B660D">
        <w:rPr>
          <w:rFonts w:ascii="仿宋_GB2312" w:eastAsia="仿宋_GB2312" w:hAnsi="Calibri" w:hint="eastAsia"/>
          <w:spacing w:val="-6"/>
          <w:sz w:val="32"/>
          <w:szCs w:val="32"/>
        </w:rPr>
        <w:t>有力</w:t>
      </w:r>
      <w:r w:rsidRPr="006B660D">
        <w:rPr>
          <w:rFonts w:ascii="仿宋_GB2312" w:eastAsia="仿宋_GB2312" w:hint="eastAsia"/>
          <w:spacing w:val="-6"/>
          <w:sz w:val="32"/>
          <w:szCs w:val="32"/>
        </w:rPr>
        <w:t>推动</w:t>
      </w:r>
      <w:r w:rsidRPr="006B660D">
        <w:rPr>
          <w:rFonts w:ascii="Calibri" w:eastAsia="仿宋_GB2312" w:hAnsi="Calibri"/>
          <w:spacing w:val="-6"/>
          <w:sz w:val="32"/>
          <w:szCs w:val="32"/>
        </w:rPr>
        <w:t>中央、省委部署要求在</w:t>
      </w:r>
      <w:r w:rsidRPr="006B660D">
        <w:rPr>
          <w:rFonts w:ascii="Calibri" w:eastAsia="仿宋_GB2312" w:hAnsi="Calibri" w:hint="eastAsia"/>
          <w:spacing w:val="-6"/>
          <w:sz w:val="32"/>
          <w:szCs w:val="32"/>
        </w:rPr>
        <w:t>全省</w:t>
      </w:r>
      <w:r w:rsidRPr="006B660D">
        <w:rPr>
          <w:rFonts w:ascii="Calibri" w:eastAsia="仿宋_GB2312" w:hAnsi="Calibri"/>
          <w:spacing w:val="-6"/>
          <w:sz w:val="32"/>
          <w:szCs w:val="32"/>
        </w:rPr>
        <w:t>政法系统</w:t>
      </w:r>
      <w:r w:rsidRPr="006B660D">
        <w:rPr>
          <w:rFonts w:ascii="Calibri" w:eastAsia="仿宋_GB2312" w:hAnsi="Calibri" w:hint="eastAsia"/>
          <w:spacing w:val="-6"/>
          <w:sz w:val="32"/>
          <w:szCs w:val="32"/>
        </w:rPr>
        <w:t>不折不扣</w:t>
      </w:r>
      <w:r w:rsidRPr="006B660D">
        <w:rPr>
          <w:rFonts w:ascii="Calibri" w:eastAsia="仿宋_GB2312" w:hAnsi="Calibri"/>
          <w:spacing w:val="-6"/>
          <w:sz w:val="32"/>
          <w:szCs w:val="32"/>
        </w:rPr>
        <w:t>落实</w:t>
      </w:r>
      <w:r w:rsidRPr="006B660D">
        <w:rPr>
          <w:rFonts w:eastAsia="仿宋_GB2312"/>
          <w:spacing w:val="-6"/>
          <w:sz w:val="32"/>
          <w:szCs w:val="32"/>
        </w:rPr>
        <w:t>。</w:t>
      </w:r>
    </w:p>
    <w:p w:rsidR="001237B6" w:rsidRPr="006B660D" w:rsidRDefault="00E11388" w:rsidP="006B660D">
      <w:pPr>
        <w:adjustRightInd w:val="0"/>
        <w:snapToGrid w:val="0"/>
        <w:spacing w:line="560" w:lineRule="exact"/>
        <w:ind w:firstLineChars="200" w:firstLine="616"/>
        <w:rPr>
          <w:rFonts w:ascii="Calibri" w:eastAsia="仿宋_GB2312" w:hAnsi="Calibri"/>
          <w:spacing w:val="-6"/>
          <w:sz w:val="32"/>
          <w:szCs w:val="32"/>
        </w:rPr>
      </w:pPr>
      <w:r w:rsidRPr="006B660D">
        <w:rPr>
          <w:rFonts w:ascii="黑体" w:eastAsia="黑体" w:hAnsi="黑体" w:hint="eastAsia"/>
          <w:spacing w:val="-6"/>
          <w:sz w:val="32"/>
          <w:szCs w:val="32"/>
        </w:rPr>
        <w:t>二、努力加强自身建设工作。</w:t>
      </w:r>
      <w:r w:rsidRPr="006B660D">
        <w:rPr>
          <w:rFonts w:ascii="Calibri" w:eastAsia="仿宋_GB2312" w:hAnsi="Calibri" w:hint="eastAsia"/>
          <w:spacing w:val="-6"/>
          <w:sz w:val="32"/>
          <w:szCs w:val="32"/>
        </w:rPr>
        <w:t>把开展好党史学习教育、政法队伍教育整顿作为贯穿全年的重大政治任务，全力抓好省委巡视工作中涉及研究所问题整改落实，研究所同志工作作风、能力进一步优化。</w:t>
      </w:r>
    </w:p>
    <w:p w:rsidR="001237B6" w:rsidRPr="006B660D" w:rsidRDefault="001237B6" w:rsidP="006B660D">
      <w:pPr>
        <w:pStyle w:val="2"/>
        <w:adjustRightInd w:val="0"/>
        <w:snapToGrid w:val="0"/>
        <w:spacing w:before="0" w:after="0" w:line="560" w:lineRule="exact"/>
        <w:ind w:firstLineChars="200" w:firstLine="640"/>
        <w:rPr>
          <w:rFonts w:ascii="黑体" w:eastAsia="黑体" w:hAnsi="黑体"/>
          <w:b w:val="0"/>
        </w:rPr>
      </w:pPr>
      <w:r w:rsidRPr="006B660D">
        <w:rPr>
          <w:rFonts w:ascii="黑体" w:eastAsia="黑体" w:hAnsi="黑体" w:hint="eastAsia"/>
          <w:b w:val="0"/>
        </w:rPr>
        <w:t>三、机构设置情况</w:t>
      </w:r>
    </w:p>
    <w:p w:rsidR="001237B6" w:rsidRPr="006B660D" w:rsidRDefault="001237B6" w:rsidP="006B660D">
      <w:pPr>
        <w:adjustRightInd w:val="0"/>
        <w:snapToGrid w:val="0"/>
        <w:spacing w:line="560" w:lineRule="exact"/>
        <w:ind w:firstLineChars="200" w:firstLine="664"/>
        <w:rPr>
          <w:rFonts w:ascii="仿宋_GB2312" w:eastAsia="仿宋_GB2312"/>
          <w:spacing w:val="6"/>
          <w:sz w:val="32"/>
          <w:szCs w:val="32"/>
        </w:rPr>
      </w:pPr>
      <w:r w:rsidRPr="006B660D">
        <w:rPr>
          <w:rFonts w:ascii="仿宋_GB2312" w:eastAsia="仿宋_GB2312" w:hint="eastAsia"/>
          <w:spacing w:val="6"/>
          <w:sz w:val="32"/>
          <w:szCs w:val="32"/>
        </w:rPr>
        <w:t>四川省政法研究所未设立内设机构。</w:t>
      </w:r>
    </w:p>
    <w:p w:rsidR="00F8018B" w:rsidRDefault="00E11388">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6"/>
      <w:bookmarkEnd w:id="17"/>
    </w:p>
    <w:p w:rsidR="00F8018B" w:rsidRDefault="00F8018B"/>
    <w:p w:rsidR="00F8018B" w:rsidRDefault="00E11388">
      <w:pPr>
        <w:pStyle w:val="a9"/>
        <w:numPr>
          <w:ilvl w:val="0"/>
          <w:numId w:val="1"/>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2021年度收、支总计208.39万元。与2020年相比，收、支总计各增加27.22万元，增长15.02</w:t>
      </w:r>
      <w:r>
        <w:rPr>
          <w:rFonts w:ascii="仿宋_GB2312" w:eastAsia="仿宋_GB2312" w:hAnsi="仿宋"/>
          <w:sz w:val="32"/>
          <w:szCs w:val="32"/>
        </w:rPr>
        <w:t>%</w:t>
      </w:r>
      <w:r>
        <w:rPr>
          <w:rFonts w:ascii="仿宋_GB2312" w:eastAsia="仿宋_GB2312" w:hAnsi="仿宋" w:hint="eastAsia"/>
          <w:sz w:val="32"/>
          <w:szCs w:val="32"/>
        </w:rPr>
        <w:t>。主要变动原因是行政运行类支出增加。</w:t>
      </w:r>
    </w:p>
    <w:p w:rsidR="00F8018B" w:rsidRDefault="00F8018B">
      <w:pPr>
        <w:pStyle w:val="a0"/>
        <w:spacing w:before="93"/>
      </w:pPr>
    </w:p>
    <w:p w:rsidR="00F8018B" w:rsidRDefault="00E11388">
      <w:pPr>
        <w:pStyle w:val="a0"/>
        <w:spacing w:before="93"/>
      </w:pPr>
      <w:r>
        <w:rPr>
          <w:rFonts w:hint="eastAsia"/>
          <w:noProof/>
        </w:rPr>
        <w:drawing>
          <wp:inline distT="0" distB="0" distL="0" distR="0">
            <wp:extent cx="4874260" cy="2297430"/>
            <wp:effectExtent l="0" t="0" r="2540" b="0"/>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018B" w:rsidRDefault="00E1138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F8018B" w:rsidRDefault="00E11388">
      <w:pPr>
        <w:pStyle w:val="a9"/>
        <w:numPr>
          <w:ilvl w:val="0"/>
          <w:numId w:val="1"/>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w:t>
      </w:r>
      <w:r>
        <w:rPr>
          <w:rFonts w:ascii="仿宋_GB2312" w:eastAsia="仿宋_GB2312" w:hAnsi="仿宋" w:hint="eastAsia"/>
          <w:sz w:val="32"/>
          <w:szCs w:val="32"/>
        </w:rPr>
        <w:t>21年本年收入合计208.39万元，其中：一般公共预算财政拨款收入208.39万元，占100</w:t>
      </w:r>
      <w:r>
        <w:rPr>
          <w:rFonts w:ascii="仿宋_GB2312" w:eastAsia="仿宋_GB2312" w:hAnsi="仿宋"/>
          <w:sz w:val="32"/>
          <w:szCs w:val="32"/>
        </w:rPr>
        <w:t>%</w:t>
      </w:r>
      <w:r>
        <w:rPr>
          <w:rFonts w:ascii="仿宋_GB2312" w:eastAsia="仿宋_GB2312" w:hAnsi="仿宋" w:hint="eastAsia"/>
          <w:sz w:val="32"/>
          <w:szCs w:val="32"/>
        </w:rPr>
        <w:t>；政府性基金预算财政拨款收入0万元，占0</w:t>
      </w:r>
      <w:r>
        <w:rPr>
          <w:rFonts w:ascii="仿宋_GB2312" w:eastAsia="仿宋_GB2312" w:hAnsi="仿宋"/>
          <w:sz w:val="32"/>
          <w:szCs w:val="32"/>
        </w:rPr>
        <w:t>%</w:t>
      </w:r>
      <w:r>
        <w:rPr>
          <w:rFonts w:ascii="仿宋_GB2312" w:eastAsia="仿宋_GB2312" w:hAnsi="仿宋" w:hint="eastAsia"/>
          <w:sz w:val="32"/>
          <w:szCs w:val="32"/>
        </w:rPr>
        <w:t>；上级补助收入0万元，占0</w:t>
      </w:r>
      <w:r>
        <w:rPr>
          <w:rFonts w:ascii="仿宋_GB2312" w:eastAsia="仿宋_GB2312" w:hAnsi="仿宋"/>
          <w:sz w:val="32"/>
          <w:szCs w:val="32"/>
        </w:rPr>
        <w:t>%</w:t>
      </w:r>
      <w:r>
        <w:rPr>
          <w:rFonts w:ascii="仿宋_GB2312" w:eastAsia="仿宋_GB2312" w:hAnsi="仿宋" w:hint="eastAsia"/>
          <w:sz w:val="32"/>
          <w:szCs w:val="32"/>
        </w:rPr>
        <w:t>；事业收入0万元，占0</w:t>
      </w:r>
      <w:r>
        <w:rPr>
          <w:rFonts w:ascii="仿宋_GB2312" w:eastAsia="仿宋_GB2312" w:hAnsi="仿宋"/>
          <w:sz w:val="32"/>
          <w:szCs w:val="32"/>
        </w:rPr>
        <w:t>%</w:t>
      </w:r>
      <w:r>
        <w:rPr>
          <w:rFonts w:ascii="仿宋_GB2312" w:eastAsia="仿宋_GB2312" w:hAnsi="仿宋" w:hint="eastAsia"/>
          <w:sz w:val="32"/>
          <w:szCs w:val="32"/>
        </w:rPr>
        <w:t>；经营收入0万元，占0</w:t>
      </w:r>
      <w:r>
        <w:rPr>
          <w:rFonts w:ascii="仿宋_GB2312" w:eastAsia="仿宋_GB2312" w:hAnsi="仿宋"/>
          <w:sz w:val="32"/>
          <w:szCs w:val="32"/>
        </w:rPr>
        <w:t>%</w:t>
      </w:r>
      <w:r>
        <w:rPr>
          <w:rFonts w:ascii="仿宋_GB2312" w:eastAsia="仿宋_GB2312" w:hAnsi="仿宋" w:hint="eastAsia"/>
          <w:sz w:val="32"/>
          <w:szCs w:val="32"/>
        </w:rPr>
        <w:t>；附属单位上缴收入0万元，占0</w:t>
      </w:r>
      <w:r>
        <w:rPr>
          <w:rFonts w:ascii="仿宋_GB2312" w:eastAsia="仿宋_GB2312" w:hAnsi="仿宋"/>
          <w:sz w:val="32"/>
          <w:szCs w:val="32"/>
        </w:rPr>
        <w:t>%</w:t>
      </w:r>
      <w:r>
        <w:rPr>
          <w:rFonts w:ascii="仿宋_GB2312" w:eastAsia="仿宋_GB2312" w:hAnsi="仿宋" w:hint="eastAsia"/>
          <w:sz w:val="32"/>
          <w:szCs w:val="32"/>
        </w:rPr>
        <w:t>；其他收入0万元，占0</w:t>
      </w:r>
      <w:r>
        <w:rPr>
          <w:rFonts w:ascii="仿宋_GB2312" w:eastAsia="仿宋_GB2312" w:hAnsi="仿宋"/>
          <w:sz w:val="32"/>
          <w:szCs w:val="32"/>
        </w:rPr>
        <w:t>%</w:t>
      </w:r>
      <w:r>
        <w:rPr>
          <w:rFonts w:ascii="仿宋_GB2312" w:eastAsia="仿宋_GB2312" w:hAnsi="仿宋" w:hint="eastAsia"/>
          <w:sz w:val="32"/>
          <w:szCs w:val="32"/>
        </w:rPr>
        <w:t>。</w:t>
      </w:r>
    </w:p>
    <w:p w:rsidR="00F8018B" w:rsidRDefault="00E11388">
      <w:pPr>
        <w:pStyle w:val="a0"/>
        <w:spacing w:before="93"/>
        <w:rPr>
          <w:rFonts w:ascii="仿宋" w:eastAsia="仿宋" w:hAnsi="仿宋"/>
          <w:sz w:val="32"/>
          <w:szCs w:val="32"/>
        </w:rPr>
      </w:pPr>
      <w:r>
        <w:rPr>
          <w:noProof/>
        </w:rPr>
        <w:lastRenderedPageBreak/>
        <w:drawing>
          <wp:inline distT="0" distB="0" distL="0" distR="0">
            <wp:extent cx="4619625" cy="271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（图2：收入决算结构图）（饼状图）</w:t>
      </w:r>
    </w:p>
    <w:p w:rsidR="00F8018B" w:rsidRDefault="00E11388">
      <w:pPr>
        <w:pStyle w:val="a9"/>
        <w:numPr>
          <w:ilvl w:val="0"/>
          <w:numId w:val="1"/>
        </w:numPr>
        <w:spacing w:line="600" w:lineRule="exact"/>
        <w:ind w:firstLineChars="0"/>
        <w:outlineLvl w:val="1"/>
        <w:rPr>
          <w:rStyle w:val="2Char"/>
          <w:rFonts w:ascii="黑体" w:eastAsia="黑体" w:hAnsi="黑体"/>
          <w:b w:val="0"/>
        </w:rPr>
      </w:pPr>
      <w:bookmarkStart w:id="22" w:name="_Toc15377207"/>
      <w:bookmarkStart w:id="23"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F8018B" w:rsidRDefault="00E11388">
      <w:pPr>
        <w:spacing w:line="600" w:lineRule="exact"/>
        <w:ind w:firstLineChars="200" w:firstLine="640"/>
        <w:outlineLvl w:val="1"/>
        <w:rPr>
          <w:rFonts w:ascii="仿宋_GB2312" w:eastAsia="仿宋_GB2312" w:hAnsi="仿宋"/>
          <w:sz w:val="32"/>
          <w:szCs w:val="32"/>
        </w:rPr>
      </w:pPr>
      <w:r>
        <w:rPr>
          <w:rFonts w:ascii="仿宋_GB2312" w:eastAsia="仿宋_GB2312" w:hAnsi="仿宋" w:hint="eastAsia"/>
          <w:sz w:val="32"/>
          <w:szCs w:val="32"/>
        </w:rPr>
        <w:t>2021年本年支出</w:t>
      </w:r>
      <w:bookmarkStart w:id="24" w:name="_GoBack"/>
      <w:bookmarkEnd w:id="24"/>
      <w:r>
        <w:rPr>
          <w:rFonts w:ascii="仿宋_GB2312" w:eastAsia="仿宋_GB2312" w:hAnsi="仿宋" w:hint="eastAsia"/>
          <w:sz w:val="32"/>
          <w:szCs w:val="32"/>
        </w:rPr>
        <w:t>合计208.39万元，其中：基本支出196.39万元，占94.24%；项目支出12万元，占5.76%；上缴上级支出0万元，占0%；经营支出0万元，占0%；对附属单位补助支出0万元，占0%。</w:t>
      </w:r>
    </w:p>
    <w:p w:rsidR="00F8018B" w:rsidRDefault="00E11388">
      <w:pPr>
        <w:pStyle w:val="a0"/>
        <w:spacing w:before="93"/>
      </w:pPr>
      <w:r>
        <w:rPr>
          <w:noProof/>
        </w:rPr>
        <w:drawing>
          <wp:inline distT="0" distB="0" distL="0" distR="0">
            <wp:extent cx="4276725" cy="279082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（图3：支出决算结构图）（饼状图）</w:t>
      </w:r>
    </w:p>
    <w:p w:rsidR="00F8018B" w:rsidRDefault="00E11388">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2021年财政拨款收、支总计208.39万元。与2020年相比，财政拨款收、支总计各增加27.22万元，增长15.02%。主要变动原因是行政运行类支出增加。</w:t>
      </w:r>
    </w:p>
    <w:p w:rsidR="00F8018B" w:rsidRDefault="00E11388">
      <w:pPr>
        <w:pStyle w:val="a0"/>
        <w:spacing w:before="93"/>
      </w:pPr>
      <w:r>
        <w:rPr>
          <w:noProof/>
        </w:rPr>
        <w:drawing>
          <wp:inline distT="0" distB="0" distL="0" distR="0">
            <wp:extent cx="4286250" cy="279082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（图4：财政拨款收、支决算总计变动情况）（柱状图）</w:t>
      </w:r>
    </w:p>
    <w:p w:rsidR="00F8018B" w:rsidRDefault="00E11388">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F8018B" w:rsidRDefault="00E11388">
      <w:pPr>
        <w:spacing w:line="600" w:lineRule="exact"/>
        <w:ind w:firstLineChars="200" w:firstLine="643"/>
        <w:outlineLvl w:val="2"/>
        <w:rPr>
          <w:rFonts w:ascii="仿宋_GB2312" w:eastAsia="仿宋_GB2312" w:hAnsi="仿宋"/>
          <w:b/>
          <w:sz w:val="32"/>
          <w:szCs w:val="32"/>
        </w:rPr>
      </w:pPr>
      <w:bookmarkStart w:id="29" w:name="_Toc15377210"/>
      <w:r>
        <w:rPr>
          <w:rFonts w:ascii="仿宋_GB2312" w:eastAsia="仿宋_GB2312" w:hAnsi="仿宋" w:hint="eastAsia"/>
          <w:b/>
          <w:sz w:val="32"/>
          <w:szCs w:val="32"/>
        </w:rPr>
        <w:t>（一）一般公共预算财政拨款支出决算总体情况</w:t>
      </w:r>
      <w:bookmarkEnd w:id="29"/>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2021年一般公共预算财政拨款支出208.39万元，占本年支出合计的100%。与2020年相比，一般公共预算财政拨款增加27.22万元，增长15.02%。主要变动原因是行政运行类支出增加。</w:t>
      </w:r>
    </w:p>
    <w:p w:rsidR="00F8018B" w:rsidRDefault="00F8018B">
      <w:pPr>
        <w:spacing w:line="600" w:lineRule="exact"/>
        <w:ind w:firstLineChars="200" w:firstLine="420"/>
      </w:pPr>
    </w:p>
    <w:p w:rsidR="00F8018B" w:rsidRDefault="00E11388">
      <w:pPr>
        <w:pStyle w:val="a0"/>
        <w:spacing w:before="93"/>
      </w:pPr>
      <w:r>
        <w:rPr>
          <w:noProof/>
        </w:rPr>
        <w:lastRenderedPageBreak/>
        <w:drawing>
          <wp:inline distT="0" distB="0" distL="0" distR="0">
            <wp:extent cx="3546475" cy="229806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018B" w:rsidRDefault="00E11388">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F8018B" w:rsidRDefault="00E11388">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F8018B" w:rsidRDefault="00E11388">
      <w:pPr>
        <w:spacing w:line="600" w:lineRule="exact"/>
        <w:ind w:firstLine="640"/>
        <w:rPr>
          <w:rFonts w:ascii="仿宋_GB2312" w:eastAsia="仿宋_GB2312" w:hAnsi="仿宋"/>
          <w:b/>
          <w:sz w:val="32"/>
          <w:szCs w:val="32"/>
        </w:rPr>
      </w:pPr>
      <w:r>
        <w:rPr>
          <w:rFonts w:ascii="仿宋_GB2312" w:eastAsia="仿宋_GB2312" w:hAnsi="仿宋" w:hint="eastAsia"/>
          <w:sz w:val="32"/>
          <w:szCs w:val="32"/>
        </w:rPr>
        <w:t>2021年一般公共预算财政拨款支出208.39万元，主要用于以下方面:</w:t>
      </w:r>
      <w:r>
        <w:rPr>
          <w:rFonts w:ascii="仿宋_GB2312" w:eastAsia="仿宋_GB2312" w:hAnsi="仿宋" w:hint="eastAsia"/>
          <w:b/>
          <w:sz w:val="32"/>
          <w:szCs w:val="32"/>
        </w:rPr>
        <w:t>公共安全支出（类）</w:t>
      </w:r>
      <w:r>
        <w:rPr>
          <w:rFonts w:ascii="仿宋_GB2312" w:eastAsia="仿宋_GB2312" w:hAnsi="仿宋" w:hint="eastAsia"/>
          <w:sz w:val="32"/>
          <w:szCs w:val="32"/>
        </w:rPr>
        <w:t>支出141.43万元，占67.87%；</w:t>
      </w:r>
      <w:r>
        <w:rPr>
          <w:rFonts w:ascii="仿宋_GB2312" w:eastAsia="仿宋_GB2312" w:hAnsi="仿宋" w:hint="eastAsia"/>
          <w:b/>
          <w:sz w:val="32"/>
          <w:szCs w:val="32"/>
        </w:rPr>
        <w:t>社会保障和就业支出（类）</w:t>
      </w:r>
      <w:r>
        <w:rPr>
          <w:rFonts w:ascii="仿宋_GB2312" w:eastAsia="仿宋_GB2312" w:hAnsi="仿宋" w:hint="eastAsia"/>
          <w:sz w:val="32"/>
          <w:szCs w:val="32"/>
        </w:rPr>
        <w:t>8.76万元，占4.20%；</w:t>
      </w:r>
      <w:r>
        <w:rPr>
          <w:rFonts w:ascii="仿宋_GB2312" w:eastAsia="仿宋_GB2312" w:hAnsi="仿宋" w:hint="eastAsia"/>
          <w:b/>
          <w:sz w:val="32"/>
          <w:szCs w:val="32"/>
        </w:rPr>
        <w:t>卫生健康支出（类）</w:t>
      </w:r>
      <w:r>
        <w:rPr>
          <w:rFonts w:ascii="仿宋_GB2312" w:eastAsia="仿宋_GB2312" w:hAnsi="仿宋" w:hint="eastAsia"/>
          <w:sz w:val="32"/>
          <w:szCs w:val="32"/>
        </w:rPr>
        <w:t>支出10.47万元，占5.02%；</w:t>
      </w:r>
      <w:r>
        <w:rPr>
          <w:rFonts w:ascii="仿宋_GB2312" w:eastAsia="仿宋_GB2312" w:hAnsi="仿宋" w:hint="eastAsia"/>
          <w:b/>
          <w:bCs/>
          <w:sz w:val="32"/>
          <w:szCs w:val="32"/>
        </w:rPr>
        <w:t>住房保障支出（类）支出47.73万元，</w:t>
      </w:r>
      <w:r>
        <w:rPr>
          <w:rFonts w:ascii="仿宋_GB2312" w:eastAsia="仿宋_GB2312" w:hAnsi="仿宋" w:hint="eastAsia"/>
          <w:sz w:val="32"/>
          <w:szCs w:val="32"/>
        </w:rPr>
        <w:t>占22.90%。</w:t>
      </w:r>
    </w:p>
    <w:p w:rsidR="00F8018B" w:rsidRDefault="00E11388">
      <w:pPr>
        <w:pStyle w:val="a0"/>
        <w:spacing w:before="93"/>
      </w:pPr>
      <w:r>
        <w:rPr>
          <w:noProof/>
        </w:rPr>
        <w:drawing>
          <wp:inline distT="0" distB="0" distL="0" distR="0">
            <wp:extent cx="4397375" cy="246507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018B" w:rsidRDefault="00E1138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（图6：一般公共预算财政拨款支出决算结构）（饼状图）</w:t>
      </w:r>
    </w:p>
    <w:p w:rsidR="00F8018B" w:rsidRDefault="00E11388">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F8018B" w:rsidRDefault="00E11388">
      <w:pPr>
        <w:spacing w:line="600" w:lineRule="exact"/>
        <w:ind w:firstLineChars="200" w:firstLine="643"/>
        <w:outlineLvl w:val="2"/>
        <w:rPr>
          <w:rFonts w:ascii="仿宋_GB2312" w:eastAsia="仿宋_GB2312" w:hAnsi="仿宋"/>
          <w:sz w:val="32"/>
          <w:szCs w:val="32"/>
        </w:rPr>
      </w:pPr>
      <w:bookmarkStart w:id="32" w:name="_Toc15377213"/>
      <w:bookmarkStart w:id="33" w:name="_Toc15378460"/>
      <w:bookmarkStart w:id="34" w:name="_Toc15377444"/>
      <w:r>
        <w:rPr>
          <w:rFonts w:ascii="仿宋_GB2312" w:eastAsia="仿宋_GB2312" w:hAnsi="仿宋" w:hint="eastAsia"/>
          <w:b/>
          <w:sz w:val="32"/>
          <w:szCs w:val="32"/>
        </w:rPr>
        <w:lastRenderedPageBreak/>
        <w:t>2021年一般公共预算支出决算数为208.39</w:t>
      </w:r>
      <w:r w:rsidR="000609E7">
        <w:rPr>
          <w:rFonts w:ascii="仿宋_GB2312" w:eastAsia="仿宋_GB2312" w:hAnsi="仿宋" w:hint="eastAsia"/>
          <w:b/>
          <w:sz w:val="32"/>
          <w:szCs w:val="32"/>
        </w:rPr>
        <w:t>万元</w:t>
      </w:r>
      <w:r>
        <w:rPr>
          <w:rFonts w:ascii="仿宋_GB2312" w:eastAsia="仿宋_GB2312" w:hAnsi="仿宋" w:hint="eastAsia"/>
          <w:sz w:val="32"/>
          <w:szCs w:val="32"/>
        </w:rPr>
        <w:t>，</w:t>
      </w:r>
      <w:r>
        <w:rPr>
          <w:rStyle w:val="a7"/>
          <w:rFonts w:ascii="仿宋_GB2312" w:eastAsia="仿宋_GB2312" w:hAnsi="仿宋" w:hint="eastAsia"/>
          <w:bCs/>
          <w:sz w:val="32"/>
          <w:szCs w:val="32"/>
        </w:rPr>
        <w:t>完成预算95.46%。其中：</w:t>
      </w:r>
      <w:bookmarkEnd w:id="32"/>
      <w:bookmarkEnd w:id="33"/>
      <w:bookmarkEnd w:id="34"/>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1. 公共安全支出（类）公安（款）行政运行（项）:</w:t>
      </w:r>
      <w:r>
        <w:rPr>
          <w:rStyle w:val="a7"/>
          <w:rFonts w:ascii="仿宋_GB2312" w:eastAsia="仿宋_GB2312" w:hAnsi="仿宋" w:hint="eastAsia"/>
          <w:b w:val="0"/>
          <w:bCs/>
          <w:sz w:val="32"/>
          <w:szCs w:val="32"/>
        </w:rPr>
        <w:t xml:space="preserve"> 支出决算为129.43万元，完成预算95.27%，决算数小于预算数的主要原因是受疫情影响，工作计划有所调整，剩余经费财政收回。</w:t>
      </w:r>
    </w:p>
    <w:p w:rsidR="00F8018B" w:rsidRDefault="00E11388">
      <w:pPr>
        <w:spacing w:line="600" w:lineRule="exact"/>
        <w:ind w:firstLineChars="200" w:firstLine="643"/>
        <w:rPr>
          <w:rStyle w:val="a7"/>
          <w:rFonts w:ascii="仿宋_GB2312" w:eastAsia="仿宋_GB2312" w:hAnsi="仿宋"/>
          <w:b w:val="0"/>
          <w:bCs/>
          <w:sz w:val="32"/>
          <w:szCs w:val="32"/>
        </w:rPr>
      </w:pPr>
      <w:r>
        <w:rPr>
          <w:rStyle w:val="a7"/>
          <w:rFonts w:ascii="仿宋_GB2312" w:eastAsia="仿宋_GB2312" w:hAnsi="仿宋" w:hint="eastAsia"/>
          <w:bCs/>
          <w:sz w:val="32"/>
          <w:szCs w:val="32"/>
        </w:rPr>
        <w:t>2.公共安全支出（类）公安（款）一般行政管理事务（项）:</w:t>
      </w:r>
      <w:r>
        <w:rPr>
          <w:rStyle w:val="a7"/>
          <w:rFonts w:ascii="仿宋_GB2312" w:eastAsia="仿宋_GB2312" w:hAnsi="仿宋" w:hint="eastAsia"/>
          <w:b w:val="0"/>
          <w:bCs/>
          <w:sz w:val="32"/>
          <w:szCs w:val="32"/>
        </w:rPr>
        <w:t xml:space="preserve"> 支出决算为12万元，完成预算100%，与预算持平。</w:t>
      </w:r>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3. 社会保障和就业支出（类）行政事业单位养老支出（款）机关事业单位基本养老保险缴费支出（项）：</w:t>
      </w:r>
      <w:r>
        <w:rPr>
          <w:rStyle w:val="a7"/>
          <w:rFonts w:ascii="仿宋_GB2312" w:eastAsia="仿宋_GB2312" w:hAnsi="仿宋" w:hint="eastAsia"/>
          <w:b w:val="0"/>
          <w:bCs/>
          <w:sz w:val="32"/>
          <w:szCs w:val="32"/>
        </w:rPr>
        <w:t xml:space="preserve"> 支出决算为8.76万元，完成预算74.47%，决算数小于预算数的主要原因是</w:t>
      </w:r>
      <w:r w:rsidR="006C0AE8" w:rsidRPr="006C0AE8">
        <w:rPr>
          <w:rStyle w:val="a7"/>
          <w:rFonts w:ascii="仿宋_GB2312" w:eastAsia="仿宋_GB2312" w:hAnsi="仿宋" w:hint="eastAsia"/>
          <w:b w:val="0"/>
          <w:bCs/>
          <w:sz w:val="32"/>
          <w:szCs w:val="32"/>
        </w:rPr>
        <w:t>年初预算无法准确测算实际开支需要</w:t>
      </w:r>
      <w:r>
        <w:rPr>
          <w:rStyle w:val="a7"/>
          <w:rFonts w:ascii="仿宋_GB2312" w:eastAsia="仿宋_GB2312" w:hAnsi="仿宋" w:hint="eastAsia"/>
          <w:b w:val="0"/>
          <w:bCs/>
          <w:sz w:val="32"/>
          <w:szCs w:val="32"/>
        </w:rPr>
        <w:t>。</w:t>
      </w:r>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4.</w:t>
      </w:r>
      <w:r>
        <w:rPr>
          <w:rStyle w:val="a7"/>
          <w:rFonts w:ascii="仿宋_GB2312" w:eastAsia="仿宋_GB2312" w:hint="eastAsia"/>
          <w:bCs/>
          <w:sz w:val="32"/>
          <w:szCs w:val="32"/>
        </w:rPr>
        <w:t xml:space="preserve"> </w:t>
      </w:r>
      <w:r>
        <w:rPr>
          <w:rStyle w:val="a7"/>
          <w:rFonts w:ascii="仿宋_GB2312" w:eastAsia="仿宋_GB2312" w:hAnsi="仿宋" w:hint="eastAsia"/>
          <w:bCs/>
          <w:sz w:val="32"/>
          <w:szCs w:val="32"/>
        </w:rPr>
        <w:t xml:space="preserve">卫生健康支出（类）行政事业单位医疗（款）行政单位医疗（项）: </w:t>
      </w:r>
      <w:r>
        <w:rPr>
          <w:rStyle w:val="a7"/>
          <w:rFonts w:ascii="仿宋_GB2312" w:eastAsia="仿宋_GB2312" w:hAnsi="仿宋" w:hint="eastAsia"/>
          <w:b w:val="0"/>
          <w:bCs/>
          <w:sz w:val="32"/>
          <w:szCs w:val="32"/>
        </w:rPr>
        <w:t>支出决算为9万元，完成预算100%，与预算持平。</w:t>
      </w:r>
    </w:p>
    <w:p w:rsidR="00F8018B" w:rsidRDefault="00E11388">
      <w:pPr>
        <w:spacing w:line="600" w:lineRule="exact"/>
        <w:ind w:firstLineChars="200" w:firstLine="643"/>
        <w:rPr>
          <w:rStyle w:val="a7"/>
          <w:rFonts w:ascii="仿宋_GB2312" w:eastAsia="仿宋_GB2312" w:hAnsi="仿宋"/>
          <w:b w:val="0"/>
          <w:bCs/>
          <w:sz w:val="32"/>
          <w:szCs w:val="32"/>
        </w:rPr>
      </w:pPr>
      <w:r>
        <w:rPr>
          <w:rStyle w:val="a7"/>
          <w:rFonts w:ascii="仿宋_GB2312" w:eastAsia="仿宋_GB2312" w:hAnsi="仿宋" w:hint="eastAsia"/>
          <w:bCs/>
          <w:sz w:val="32"/>
          <w:szCs w:val="32"/>
        </w:rPr>
        <w:t>5.</w:t>
      </w:r>
      <w:r>
        <w:rPr>
          <w:rStyle w:val="a7"/>
          <w:rFonts w:ascii="仿宋_GB2312" w:eastAsia="仿宋_GB2312" w:hint="eastAsia"/>
          <w:bCs/>
          <w:sz w:val="32"/>
          <w:szCs w:val="32"/>
        </w:rPr>
        <w:t xml:space="preserve"> </w:t>
      </w:r>
      <w:r>
        <w:rPr>
          <w:rStyle w:val="a7"/>
          <w:rFonts w:ascii="仿宋_GB2312" w:eastAsia="仿宋_GB2312" w:hAnsi="仿宋" w:hint="eastAsia"/>
          <w:bCs/>
          <w:sz w:val="32"/>
          <w:szCs w:val="32"/>
        </w:rPr>
        <w:t xml:space="preserve">卫生健康支出（类）行政事业单位医疗（款）公务员医疗补助（项）: </w:t>
      </w:r>
      <w:r>
        <w:rPr>
          <w:rStyle w:val="a7"/>
          <w:rFonts w:ascii="仿宋_GB2312" w:eastAsia="仿宋_GB2312" w:hAnsi="仿宋" w:hint="eastAsia"/>
          <w:b w:val="0"/>
          <w:bCs/>
          <w:sz w:val="32"/>
          <w:szCs w:val="32"/>
        </w:rPr>
        <w:t>支出决算为1.47万元，完成预算100%，与预算持平。</w:t>
      </w:r>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6.</w:t>
      </w:r>
      <w:r>
        <w:rPr>
          <w:rStyle w:val="a7"/>
          <w:rFonts w:ascii="仿宋_GB2312" w:eastAsia="仿宋_GB2312" w:hint="eastAsia"/>
          <w:bCs/>
          <w:sz w:val="32"/>
          <w:szCs w:val="32"/>
        </w:rPr>
        <w:t xml:space="preserve"> </w:t>
      </w:r>
      <w:r>
        <w:rPr>
          <w:rStyle w:val="a7"/>
          <w:rFonts w:ascii="仿宋_GB2312" w:eastAsia="仿宋_GB2312" w:hAnsi="仿宋" w:hint="eastAsia"/>
          <w:bCs/>
          <w:sz w:val="32"/>
          <w:szCs w:val="32"/>
        </w:rPr>
        <w:t>住房保障支出（类）住房改革支出（款）住房公积金（项）:</w:t>
      </w:r>
      <w:r>
        <w:rPr>
          <w:rStyle w:val="a7"/>
          <w:rFonts w:ascii="仿宋_GB2312" w:eastAsia="仿宋_GB2312" w:hAnsi="仿宋" w:hint="eastAsia"/>
          <w:b w:val="0"/>
          <w:bCs/>
          <w:sz w:val="32"/>
          <w:szCs w:val="32"/>
        </w:rPr>
        <w:t>支出决算为11.49万元，完成预算100%，与预算持平。</w:t>
      </w:r>
      <w:r>
        <w:rPr>
          <w:rFonts w:ascii="仿宋_GB2312" w:eastAsia="仿宋_GB2312" w:hAnsi="仿宋" w:hint="eastAsia"/>
          <w:b/>
          <w:sz w:val="32"/>
          <w:szCs w:val="32"/>
        </w:rPr>
        <w:t xml:space="preserve"> </w:t>
      </w:r>
    </w:p>
    <w:p w:rsidR="00F8018B" w:rsidRDefault="00E11388">
      <w:pPr>
        <w:spacing w:line="600" w:lineRule="exact"/>
        <w:ind w:firstLineChars="200" w:firstLine="643"/>
        <w:rPr>
          <w:rFonts w:ascii="仿宋_GB2312" w:eastAsia="仿宋_GB2312" w:hAnsi="仿宋"/>
          <w:b/>
          <w:sz w:val="32"/>
          <w:szCs w:val="32"/>
        </w:rPr>
      </w:pPr>
      <w:r>
        <w:rPr>
          <w:rStyle w:val="a7"/>
          <w:rFonts w:ascii="仿宋_GB2312" w:eastAsia="仿宋_GB2312" w:hAnsi="仿宋" w:hint="eastAsia"/>
          <w:bCs/>
          <w:sz w:val="32"/>
          <w:szCs w:val="32"/>
        </w:rPr>
        <w:t>7.</w:t>
      </w:r>
      <w:r>
        <w:rPr>
          <w:rStyle w:val="a7"/>
          <w:rFonts w:ascii="仿宋_GB2312" w:eastAsia="仿宋_GB2312" w:hint="eastAsia"/>
          <w:bCs/>
          <w:sz w:val="32"/>
          <w:szCs w:val="32"/>
        </w:rPr>
        <w:t xml:space="preserve"> </w:t>
      </w:r>
      <w:r>
        <w:rPr>
          <w:rStyle w:val="a7"/>
          <w:rFonts w:ascii="仿宋_GB2312" w:eastAsia="仿宋_GB2312" w:hAnsi="仿宋" w:hint="eastAsia"/>
          <w:bCs/>
          <w:sz w:val="32"/>
          <w:szCs w:val="32"/>
        </w:rPr>
        <w:t>住房保障支出（类）住房改革支出（款）购房补贴（项）:</w:t>
      </w:r>
      <w:r>
        <w:rPr>
          <w:rStyle w:val="a7"/>
          <w:rFonts w:ascii="仿宋_GB2312" w:eastAsia="仿宋_GB2312" w:hAnsi="仿宋" w:hint="eastAsia"/>
          <w:b w:val="0"/>
          <w:bCs/>
          <w:sz w:val="32"/>
          <w:szCs w:val="32"/>
        </w:rPr>
        <w:t>支出决算为36.24万元，完成预算98.75%，</w:t>
      </w:r>
      <w:bookmarkStart w:id="35" w:name="_Toc15377214"/>
      <w:bookmarkStart w:id="36" w:name="_Toc15396608"/>
      <w:r>
        <w:rPr>
          <w:rStyle w:val="a7"/>
          <w:rFonts w:ascii="仿宋_GB2312" w:eastAsia="仿宋_GB2312" w:hAnsi="仿宋" w:hint="eastAsia"/>
          <w:b w:val="0"/>
          <w:bCs/>
          <w:sz w:val="32"/>
          <w:szCs w:val="32"/>
        </w:rPr>
        <w:t>决算数</w:t>
      </w:r>
      <w:r>
        <w:rPr>
          <w:rStyle w:val="a7"/>
          <w:rFonts w:ascii="仿宋_GB2312" w:eastAsia="仿宋_GB2312" w:hAnsi="仿宋" w:hint="eastAsia"/>
          <w:b w:val="0"/>
          <w:bCs/>
          <w:sz w:val="32"/>
          <w:szCs w:val="32"/>
        </w:rPr>
        <w:lastRenderedPageBreak/>
        <w:t>小于预算数的主要原因是</w:t>
      </w:r>
      <w:r w:rsidR="006C0AE8" w:rsidRPr="006C0AE8">
        <w:rPr>
          <w:rStyle w:val="a7"/>
          <w:rFonts w:ascii="仿宋_GB2312" w:eastAsia="仿宋_GB2312" w:hAnsi="仿宋" w:hint="eastAsia"/>
          <w:b w:val="0"/>
          <w:bCs/>
          <w:sz w:val="32"/>
          <w:szCs w:val="32"/>
        </w:rPr>
        <w:t>年初预算无法准确测算实际开支需要</w:t>
      </w:r>
      <w:r>
        <w:rPr>
          <w:rStyle w:val="a7"/>
          <w:rFonts w:ascii="仿宋_GB2312" w:eastAsia="仿宋_GB2312" w:hAnsi="仿宋" w:hint="eastAsia"/>
          <w:b w:val="0"/>
          <w:bCs/>
          <w:sz w:val="32"/>
          <w:szCs w:val="32"/>
        </w:rPr>
        <w:t>。</w:t>
      </w:r>
    </w:p>
    <w:p w:rsidR="00F8018B" w:rsidRDefault="00E11388">
      <w:pPr>
        <w:spacing w:line="600" w:lineRule="exact"/>
        <w:ind w:firstLineChars="200" w:firstLine="640"/>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F8018B" w:rsidRDefault="00E11388">
      <w:pPr>
        <w:spacing w:line="600" w:lineRule="exact"/>
        <w:ind w:firstLine="645"/>
        <w:rPr>
          <w:rFonts w:ascii="仿宋_GB2312" w:eastAsia="仿宋_GB2312" w:hAnsi="仿宋"/>
          <w:sz w:val="32"/>
          <w:szCs w:val="32"/>
        </w:rPr>
      </w:pPr>
      <w:r>
        <w:rPr>
          <w:rFonts w:ascii="仿宋_GB2312" w:eastAsia="仿宋_GB2312" w:hAnsi="仿宋" w:hint="eastAsia"/>
          <w:sz w:val="32"/>
          <w:szCs w:val="32"/>
        </w:rPr>
        <w:t>2021年一般公共预算财政拨款基本支出196.39万元，其中：</w:t>
      </w:r>
    </w:p>
    <w:p w:rsidR="00F8018B" w:rsidRDefault="00E11388">
      <w:pPr>
        <w:spacing w:line="600" w:lineRule="exact"/>
        <w:ind w:firstLine="645"/>
        <w:rPr>
          <w:rFonts w:ascii="仿宋_GB2312" w:eastAsia="仿宋_GB2312" w:hAnsi="仿宋"/>
          <w:sz w:val="32"/>
          <w:szCs w:val="32"/>
        </w:rPr>
      </w:pPr>
      <w:r>
        <w:rPr>
          <w:rFonts w:ascii="仿宋_GB2312" w:eastAsia="仿宋_GB2312" w:hAnsi="仿宋" w:hint="eastAsia"/>
          <w:sz w:val="32"/>
          <w:szCs w:val="32"/>
        </w:rPr>
        <w:t>人员经费173.78万元，主要包括：基本工资、津贴补贴、奖金、机关事业单位基本养老保险缴费、职工基本医疗保险缴费、公务员医疗补助缴费、住房公积金、其他工资福利支出等。</w:t>
      </w:r>
      <w:r>
        <w:rPr>
          <w:rFonts w:ascii="仿宋_GB2312" w:eastAsia="仿宋_GB2312" w:hAnsi="仿宋" w:hint="eastAsia"/>
          <w:sz w:val="32"/>
          <w:szCs w:val="32"/>
        </w:rPr>
        <w:br/>
        <w:t xml:space="preserve">　　公用经费22.61万元，主要包括：办公费、差旅费、工会经费、福利费、其他交通费用、其他商品和服务支出等。</w:t>
      </w:r>
    </w:p>
    <w:p w:rsidR="00F8018B" w:rsidRDefault="00E11388">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F8018B" w:rsidRDefault="00E11388">
      <w:pPr>
        <w:spacing w:line="600" w:lineRule="exact"/>
        <w:ind w:firstLine="640"/>
        <w:outlineLvl w:val="2"/>
        <w:rPr>
          <w:rFonts w:ascii="仿宋_GB2312" w:eastAsia="仿宋_GB2312" w:hAnsi="仿宋"/>
          <w:b/>
          <w:sz w:val="32"/>
          <w:szCs w:val="32"/>
        </w:rPr>
      </w:pPr>
      <w:bookmarkStart w:id="39" w:name="_Toc15377216"/>
      <w:r>
        <w:rPr>
          <w:rFonts w:ascii="仿宋_GB2312" w:eastAsia="仿宋_GB2312" w:hAnsi="仿宋" w:hint="eastAsia"/>
          <w:b/>
          <w:sz w:val="32"/>
          <w:szCs w:val="32"/>
        </w:rPr>
        <w:t>（一）“三公”经费财政拨款支出决算总体情况说明</w:t>
      </w:r>
      <w:bookmarkEnd w:id="39"/>
    </w:p>
    <w:p w:rsidR="00F8018B" w:rsidRDefault="00E11388">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2021年“三公”经费财政拨款支出决算为0万元， 与2020年持平</w:t>
      </w:r>
      <w:r w:rsidR="00F66372">
        <w:rPr>
          <w:rFonts w:ascii="仿宋_GB2312" w:eastAsia="仿宋_GB2312" w:hAnsi="仿宋" w:hint="eastAsia"/>
          <w:sz w:val="32"/>
          <w:szCs w:val="32"/>
        </w:rPr>
        <w:t>，主要原因是本单位未安排“三公”经费预算</w:t>
      </w:r>
      <w:r>
        <w:rPr>
          <w:rFonts w:ascii="仿宋_GB2312" w:eastAsia="仿宋_GB2312" w:hAnsi="仿宋" w:hint="eastAsia"/>
          <w:sz w:val="32"/>
          <w:szCs w:val="32"/>
        </w:rPr>
        <w:t>。</w:t>
      </w:r>
    </w:p>
    <w:p w:rsidR="00F8018B" w:rsidRDefault="00E11388">
      <w:pPr>
        <w:spacing w:line="600" w:lineRule="exact"/>
        <w:ind w:firstLine="640"/>
        <w:outlineLvl w:val="2"/>
        <w:rPr>
          <w:rFonts w:ascii="仿宋_GB2312" w:eastAsia="仿宋_GB2312" w:hAnsi="仿宋"/>
          <w:b/>
          <w:sz w:val="32"/>
          <w:szCs w:val="32"/>
        </w:rPr>
      </w:pPr>
      <w:bookmarkStart w:id="40" w:name="_Toc15377217"/>
      <w:r>
        <w:rPr>
          <w:rFonts w:ascii="仿宋_GB2312" w:eastAsia="仿宋_GB2312" w:hAnsi="仿宋" w:hint="eastAsia"/>
          <w:b/>
          <w:sz w:val="32"/>
          <w:szCs w:val="32"/>
        </w:rPr>
        <w:t>（二）“三公”经费财政拨款支出决算具体情况说明</w:t>
      </w:r>
      <w:bookmarkEnd w:id="40"/>
    </w:p>
    <w:p w:rsidR="00F8018B" w:rsidRDefault="00E11388">
      <w:pPr>
        <w:spacing w:line="600" w:lineRule="exact"/>
        <w:ind w:firstLine="640"/>
        <w:rPr>
          <w:rFonts w:ascii="仿宋_GB2312" w:eastAsia="仿宋_GB2312" w:hAnsi="仿宋"/>
          <w:sz w:val="32"/>
          <w:szCs w:val="32"/>
        </w:rPr>
      </w:pPr>
      <w:r>
        <w:rPr>
          <w:rFonts w:ascii="仿宋_GB2312" w:eastAsia="仿宋_GB2312" w:hAnsi="仿宋" w:hint="eastAsia"/>
          <w:sz w:val="32"/>
          <w:szCs w:val="32"/>
        </w:rPr>
        <w:t>2021年“三公”经费财政拨款支出决算中，因公出国（境）费支出决算0万元，占0%；公务用车购置及运行维护费支出决算0万元，占0%；公务接待费支出决算0万元，占0%。具体情况如下：</w:t>
      </w:r>
    </w:p>
    <w:p w:rsidR="00F8018B" w:rsidRDefault="00E11388">
      <w:pPr>
        <w:pStyle w:val="a0"/>
        <w:spacing w:before="93"/>
      </w:pPr>
      <w:r>
        <w:rPr>
          <w:noProof/>
        </w:rPr>
        <w:lastRenderedPageBreak/>
        <w:drawing>
          <wp:inline distT="0" distB="0" distL="0" distR="0">
            <wp:extent cx="3736975" cy="2186305"/>
            <wp:effectExtent l="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018B" w:rsidRDefault="00E11388">
      <w:pPr>
        <w:spacing w:line="600" w:lineRule="exact"/>
        <w:ind w:firstLine="640"/>
        <w:rPr>
          <w:rFonts w:ascii="仿宋_GB2312" w:eastAsia="仿宋_GB2312" w:hAnsi="仿宋"/>
          <w:sz w:val="32"/>
          <w:szCs w:val="32"/>
        </w:rPr>
      </w:pPr>
      <w:r>
        <w:rPr>
          <w:rFonts w:ascii="仿宋_GB2312" w:eastAsia="仿宋_GB2312" w:hAnsi="仿宋" w:hint="eastAsia"/>
          <w:sz w:val="32"/>
          <w:szCs w:val="32"/>
        </w:rPr>
        <w:t>（图7：“三公”经费财政拨款支出结构）（饼状图）</w:t>
      </w:r>
    </w:p>
    <w:p w:rsidR="00F8018B" w:rsidRDefault="00E11388">
      <w:pPr>
        <w:spacing w:line="600" w:lineRule="exact"/>
        <w:ind w:firstLine="640"/>
        <w:rPr>
          <w:rFonts w:ascii="仿宋_GB2312" w:eastAsia="仿宋_GB2312"/>
          <w:sz w:val="32"/>
          <w:szCs w:val="32"/>
        </w:rPr>
      </w:pPr>
      <w:r>
        <w:rPr>
          <w:rFonts w:ascii="仿宋_GB2312" w:eastAsia="仿宋_GB2312" w:hint="eastAsia"/>
          <w:b/>
          <w:sz w:val="32"/>
          <w:szCs w:val="32"/>
        </w:rPr>
        <w:t>1.因公出国（境）经费支出</w:t>
      </w:r>
      <w:r>
        <w:rPr>
          <w:rFonts w:ascii="仿宋_GB2312" w:eastAsia="仿宋_GB2312" w:hint="eastAsia"/>
          <w:sz w:val="32"/>
          <w:szCs w:val="32"/>
        </w:rPr>
        <w:t>0万元，</w:t>
      </w:r>
      <w:r w:rsidR="00AA2E61" w:rsidRPr="00AA2E61">
        <w:rPr>
          <w:rFonts w:ascii="仿宋_GB2312" w:eastAsia="仿宋_GB2312" w:hint="eastAsia"/>
          <w:sz w:val="32"/>
          <w:szCs w:val="32"/>
        </w:rPr>
        <w:t>完成预算0%</w:t>
      </w:r>
      <w:r w:rsidR="00AA2E61">
        <w:rPr>
          <w:rFonts w:ascii="仿宋_GB2312" w:eastAsia="仿宋_GB2312" w:hint="eastAsia"/>
          <w:sz w:val="32"/>
          <w:szCs w:val="32"/>
        </w:rPr>
        <w:t>，</w:t>
      </w:r>
      <w:r>
        <w:rPr>
          <w:rFonts w:ascii="仿宋_GB2312" w:eastAsia="仿宋_GB2312" w:hint="eastAsia"/>
          <w:sz w:val="32"/>
          <w:szCs w:val="32"/>
        </w:rPr>
        <w:t>全年安排因公出国（境）团组0次，出国（境）0人。</w:t>
      </w:r>
      <w:r>
        <w:rPr>
          <w:rFonts w:ascii="仿宋_GB2312" w:eastAsia="仿宋_GB2312" w:hAnsi="仿宋" w:hint="eastAsia"/>
          <w:sz w:val="32"/>
          <w:szCs w:val="32"/>
        </w:rPr>
        <w:t>与2020年持平。</w:t>
      </w:r>
      <w:r w:rsidR="00AA2E61">
        <w:rPr>
          <w:rFonts w:ascii="仿宋_GB2312" w:eastAsia="仿宋_GB2312" w:hAnsi="Tahoma" w:cs="Tahoma" w:hint="eastAsia"/>
          <w:kern w:val="0"/>
          <w:sz w:val="32"/>
          <w:szCs w:val="32"/>
        </w:rPr>
        <w:t>主要原因是2021年未</w:t>
      </w:r>
      <w:r w:rsidR="00AA2E61" w:rsidRPr="00867BB8">
        <w:rPr>
          <w:rFonts w:ascii="仿宋_GB2312" w:eastAsia="仿宋_GB2312" w:hAnsi="Tahoma" w:cs="Tahoma" w:hint="eastAsia"/>
          <w:kern w:val="0"/>
          <w:sz w:val="32"/>
          <w:szCs w:val="32"/>
        </w:rPr>
        <w:t>安排出国（境）任务和</w:t>
      </w:r>
      <w:r w:rsidR="00AA2E61">
        <w:rPr>
          <w:rFonts w:ascii="仿宋_GB2312" w:eastAsia="仿宋_GB2312" w:hAnsi="Tahoma" w:cs="Tahoma" w:hint="eastAsia"/>
          <w:kern w:val="0"/>
          <w:sz w:val="32"/>
          <w:szCs w:val="32"/>
        </w:rPr>
        <w:t>工作计划，开支内容无。</w:t>
      </w:r>
    </w:p>
    <w:p w:rsidR="00F8018B" w:rsidRDefault="00E11388">
      <w:pPr>
        <w:spacing w:line="600" w:lineRule="exact"/>
        <w:ind w:firstLine="640"/>
        <w:rPr>
          <w:rFonts w:ascii="仿宋_GB2312" w:eastAsia="仿宋_GB2312"/>
          <w:b/>
          <w:sz w:val="32"/>
          <w:szCs w:val="32"/>
        </w:rPr>
      </w:pPr>
      <w:r>
        <w:rPr>
          <w:rFonts w:ascii="仿宋_GB2312" w:eastAsia="仿宋_GB2312" w:hint="eastAsia"/>
          <w:b/>
          <w:sz w:val="32"/>
          <w:szCs w:val="32"/>
        </w:rPr>
        <w:t>2.公务用车购置及运行维护费支出</w:t>
      </w:r>
      <w:r>
        <w:rPr>
          <w:rFonts w:ascii="仿宋_GB2312" w:eastAsia="仿宋_GB2312" w:hint="eastAsia"/>
          <w:sz w:val="32"/>
          <w:szCs w:val="32"/>
        </w:rPr>
        <w:t>0万元</w:t>
      </w:r>
      <w:r w:rsidR="000432BC">
        <w:rPr>
          <w:rFonts w:ascii="仿宋_GB2312" w:eastAsia="仿宋_GB2312" w:hint="eastAsia"/>
          <w:sz w:val="32"/>
          <w:szCs w:val="32"/>
        </w:rPr>
        <w:t>,</w:t>
      </w:r>
      <w:r w:rsidR="000432BC" w:rsidRPr="000432BC">
        <w:rPr>
          <w:rFonts w:ascii="仿宋_GB2312" w:eastAsia="仿宋_GB2312" w:hAnsi="仿宋" w:hint="eastAsia"/>
          <w:sz w:val="32"/>
          <w:szCs w:val="32"/>
        </w:rPr>
        <w:t xml:space="preserve"> </w:t>
      </w:r>
      <w:r w:rsidR="000432BC">
        <w:rPr>
          <w:rFonts w:ascii="仿宋_GB2312" w:eastAsia="仿宋_GB2312" w:hAnsi="仿宋" w:hint="eastAsia"/>
          <w:sz w:val="32"/>
          <w:szCs w:val="32"/>
        </w:rPr>
        <w:t>与2020年持平</w:t>
      </w:r>
      <w:r>
        <w:rPr>
          <w:rStyle w:val="a7"/>
          <w:rFonts w:ascii="仿宋_GB2312" w:eastAsia="仿宋_GB2312" w:hAnsi="仿宋" w:hint="eastAsia"/>
          <w:b w:val="0"/>
          <w:bCs/>
          <w:sz w:val="32"/>
          <w:szCs w:val="32"/>
        </w:rPr>
        <w:t>。</w:t>
      </w:r>
    </w:p>
    <w:p w:rsidR="00F8018B" w:rsidRDefault="00E11388">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0万元。全年按规定更新购置公务用车0辆，其中：轿车0辆、金额0万元，越野车0辆、金额0万元，载客汽车0辆、金额0万元。截至2021年12月底，单位共有公务用车0辆，其中：轿车0辆、越野车0辆、载客汽车0辆。</w:t>
      </w:r>
    </w:p>
    <w:p w:rsidR="00F8018B" w:rsidRDefault="00E11388">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r>
        <w:rPr>
          <w:rFonts w:ascii="仿宋_GB2312" w:eastAsia="仿宋_GB2312" w:hAnsi="仿宋" w:hint="eastAsia"/>
          <w:sz w:val="32"/>
          <w:szCs w:val="32"/>
        </w:rPr>
        <w:t>。</w:t>
      </w:r>
    </w:p>
    <w:p w:rsidR="00F8018B" w:rsidRDefault="00E11388">
      <w:pPr>
        <w:spacing w:line="600" w:lineRule="exact"/>
        <w:ind w:firstLine="640"/>
        <w:rPr>
          <w:rFonts w:ascii="仿宋_GB2312" w:eastAsia="仿宋_GB2312"/>
          <w:sz w:val="32"/>
          <w:szCs w:val="32"/>
        </w:rPr>
      </w:pPr>
      <w:r>
        <w:rPr>
          <w:rFonts w:ascii="仿宋_GB2312" w:eastAsia="仿宋_GB2312" w:hint="eastAsia"/>
          <w:b/>
          <w:sz w:val="32"/>
          <w:szCs w:val="32"/>
        </w:rPr>
        <w:t>3.公务接待费支出0</w:t>
      </w:r>
      <w:r>
        <w:rPr>
          <w:rFonts w:ascii="仿宋_GB2312" w:eastAsia="仿宋_GB2312" w:hint="eastAsia"/>
          <w:sz w:val="32"/>
          <w:szCs w:val="32"/>
        </w:rPr>
        <w:t>万元，</w:t>
      </w:r>
      <w:r w:rsidR="007B60F0" w:rsidRPr="00AA2E61">
        <w:rPr>
          <w:rFonts w:ascii="仿宋_GB2312" w:eastAsia="仿宋_GB2312" w:hint="eastAsia"/>
          <w:sz w:val="32"/>
          <w:szCs w:val="32"/>
        </w:rPr>
        <w:t>完成预算0%</w:t>
      </w:r>
      <w:r w:rsidR="007B60F0">
        <w:rPr>
          <w:rFonts w:ascii="仿宋_GB2312" w:eastAsia="仿宋_GB2312" w:hint="eastAsia"/>
          <w:sz w:val="32"/>
          <w:szCs w:val="32"/>
        </w:rPr>
        <w:t>，</w:t>
      </w:r>
      <w:r>
        <w:rPr>
          <w:rFonts w:ascii="仿宋_GB2312" w:eastAsia="仿宋_GB2312" w:hAnsi="仿宋" w:hint="eastAsia"/>
          <w:sz w:val="32"/>
          <w:szCs w:val="32"/>
        </w:rPr>
        <w:t>与2020年持平。</w:t>
      </w:r>
      <w:r>
        <w:rPr>
          <w:rFonts w:ascii="仿宋_GB2312" w:eastAsia="仿宋_GB2312" w:hint="eastAsia"/>
          <w:sz w:val="32"/>
          <w:szCs w:val="32"/>
        </w:rPr>
        <w:t>其中：</w:t>
      </w:r>
    </w:p>
    <w:p w:rsidR="00F8018B" w:rsidRDefault="00E11388">
      <w:pPr>
        <w:spacing w:line="600" w:lineRule="exact"/>
        <w:ind w:firstLine="640"/>
        <w:rPr>
          <w:rFonts w:ascii="仿宋_GB2312" w:eastAsia="仿宋_GB2312"/>
          <w:sz w:val="32"/>
          <w:szCs w:val="32"/>
        </w:rPr>
      </w:pPr>
      <w:r>
        <w:rPr>
          <w:rFonts w:ascii="仿宋_GB2312" w:eastAsia="仿宋_GB2312" w:hAnsi="仿宋" w:hint="eastAsia"/>
          <w:b/>
          <w:sz w:val="32"/>
          <w:szCs w:val="32"/>
        </w:rPr>
        <w:t>国内公务接待支出0</w:t>
      </w:r>
      <w:r>
        <w:rPr>
          <w:rFonts w:ascii="仿宋_GB2312" w:eastAsia="仿宋_GB2312" w:hint="eastAsia"/>
          <w:sz w:val="32"/>
          <w:szCs w:val="32"/>
        </w:rPr>
        <w:t>万元，</w:t>
      </w:r>
      <w:r w:rsidR="00453ED6" w:rsidRPr="006A3C7E">
        <w:rPr>
          <w:rFonts w:ascii="仿宋_GB2312" w:eastAsia="仿宋_GB2312" w:hint="eastAsia"/>
          <w:sz w:val="32"/>
          <w:szCs w:val="32"/>
        </w:rPr>
        <w:t>国内公务接待0批次，0人，共计支出0万元。</w:t>
      </w:r>
      <w:r>
        <w:rPr>
          <w:rFonts w:ascii="仿宋_GB2312" w:eastAsia="仿宋_GB2312" w:hint="eastAsia"/>
          <w:sz w:val="32"/>
          <w:szCs w:val="32"/>
        </w:rPr>
        <w:t xml:space="preserve"> </w:t>
      </w:r>
    </w:p>
    <w:p w:rsidR="00F8018B" w:rsidRDefault="00E11388">
      <w:pPr>
        <w:spacing w:line="600" w:lineRule="exact"/>
        <w:ind w:firstLineChars="200" w:firstLine="643"/>
        <w:rPr>
          <w:rFonts w:ascii="仿宋_GB2312" w:eastAsia="仿宋_GB2312"/>
          <w:sz w:val="32"/>
          <w:szCs w:val="32"/>
        </w:rPr>
      </w:pPr>
      <w:r>
        <w:rPr>
          <w:rFonts w:ascii="仿宋_GB2312" w:eastAsia="仿宋_GB2312" w:hAnsi="仿宋" w:hint="eastAsia"/>
          <w:b/>
          <w:sz w:val="32"/>
          <w:szCs w:val="32"/>
        </w:rPr>
        <w:lastRenderedPageBreak/>
        <w:t>外事接待支出</w:t>
      </w:r>
      <w:r>
        <w:rPr>
          <w:rFonts w:ascii="仿宋_GB2312" w:eastAsia="仿宋_GB2312" w:hAnsi="仿宋" w:hint="eastAsia"/>
          <w:sz w:val="32"/>
          <w:szCs w:val="32"/>
        </w:rPr>
        <w:t>0</w:t>
      </w:r>
      <w:r>
        <w:rPr>
          <w:rFonts w:ascii="仿宋_GB2312" w:eastAsia="仿宋_GB2312" w:hint="eastAsia"/>
          <w:sz w:val="32"/>
          <w:szCs w:val="32"/>
        </w:rPr>
        <w:t>万元，外事接待0批次，0人，共计支出0万元。</w:t>
      </w:r>
    </w:p>
    <w:p w:rsidR="00F8018B" w:rsidRDefault="00E11388">
      <w:pPr>
        <w:spacing w:line="600" w:lineRule="exact"/>
        <w:ind w:firstLine="640"/>
        <w:outlineLvl w:val="1"/>
        <w:rPr>
          <w:rStyle w:val="2Char"/>
          <w:rFonts w:ascii="黑体" w:eastAsia="黑体" w:hAnsi="黑体"/>
        </w:rPr>
      </w:pPr>
      <w:bookmarkStart w:id="41" w:name="_Toc15396610"/>
      <w:bookmarkStart w:id="42"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F8018B" w:rsidRDefault="00E1138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rsidR="00F8018B" w:rsidRDefault="00E11388">
      <w:pPr>
        <w:numPr>
          <w:ilvl w:val="0"/>
          <w:numId w:val="2"/>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F8018B" w:rsidRDefault="00E1138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rsidR="00F8018B" w:rsidRDefault="00E11388">
      <w:pPr>
        <w:numPr>
          <w:ilvl w:val="0"/>
          <w:numId w:val="2"/>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rsidR="00F8018B" w:rsidRDefault="00E11388">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F8018B" w:rsidRDefault="00E11388">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21年，四川省政法研究所机关运行经费支出22.61万元，比</w:t>
      </w:r>
      <w:r>
        <w:rPr>
          <w:rFonts w:ascii="仿宋_GB2312" w:eastAsia="仿宋_GB2312"/>
          <w:sz w:val="32"/>
          <w:szCs w:val="32"/>
        </w:rPr>
        <w:t>20</w:t>
      </w:r>
      <w:r>
        <w:rPr>
          <w:rFonts w:ascii="仿宋_GB2312" w:eastAsia="仿宋_GB2312" w:hint="eastAsia"/>
          <w:sz w:val="32"/>
          <w:szCs w:val="32"/>
        </w:rPr>
        <w:t>20年增加4.04万元，增长21.76</w:t>
      </w:r>
      <w:r>
        <w:rPr>
          <w:rFonts w:ascii="仿宋_GB2312" w:eastAsia="仿宋_GB2312"/>
          <w:sz w:val="32"/>
          <w:szCs w:val="32"/>
        </w:rPr>
        <w:t>%</w:t>
      </w:r>
      <w:r>
        <w:rPr>
          <w:rFonts w:ascii="仿宋_GB2312" w:eastAsia="仿宋_GB2312" w:hint="eastAsia"/>
          <w:sz w:val="32"/>
          <w:szCs w:val="32"/>
        </w:rPr>
        <w:t>。主要原因是公用经费支出增加。</w:t>
      </w:r>
    </w:p>
    <w:p w:rsidR="00F8018B" w:rsidRDefault="00E11388">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F8018B" w:rsidRDefault="00E11388">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21年，四川省政法研究所政府采购支出总额0万元，其中：政府采购货物支出0万元、政府采购工程支出0万元、政府采购服务支出0万元。授予中小企业合同金额0万元，占政府采购支出总额的0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r>
        <w:rPr>
          <w:rFonts w:ascii="仿宋_GB2312" w:eastAsia="仿宋_GB2312"/>
          <w:sz w:val="32"/>
          <w:szCs w:val="32"/>
        </w:rPr>
        <w:t>%</w:t>
      </w:r>
      <w:r>
        <w:rPr>
          <w:rFonts w:ascii="仿宋_GB2312" w:eastAsia="仿宋_GB2312" w:hint="eastAsia"/>
          <w:sz w:val="32"/>
          <w:szCs w:val="32"/>
        </w:rPr>
        <w:t>。</w:t>
      </w:r>
    </w:p>
    <w:p w:rsidR="00F8018B" w:rsidRDefault="00E11388">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F8018B" w:rsidRDefault="00E11388">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日，四川省政法研究所共有车辆0辆，其中：主要领导干部用车0辆、机要通信用车0辆、应急保障用车0辆、其他用车0辆。单价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rsidR="00F8018B" w:rsidRDefault="00E11388">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F8018B" w:rsidRDefault="00E11388">
      <w:pPr>
        <w:spacing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lastRenderedPageBreak/>
        <w:t>四川省政法研究所2021年未安排</w:t>
      </w:r>
      <w:r>
        <w:rPr>
          <w:rFonts w:ascii="仿宋_GB2312" w:eastAsia="仿宋_GB2312" w:hAnsi="仿宋_GB2312" w:cs="仿宋_GB2312" w:hint="eastAsia"/>
          <w:sz w:val="32"/>
          <w:szCs w:val="32"/>
        </w:rPr>
        <w:t>特定目标类部门预算项目，故不涉及预算绩效管理相关情况，单位整体预算绩效纳入省委政法委统一管理。</w:t>
      </w:r>
    </w:p>
    <w:p w:rsidR="00F8018B" w:rsidRDefault="00F8018B">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Default="00F66372">
      <w:pPr>
        <w:pStyle w:val="a0"/>
        <w:spacing w:before="93"/>
        <w:rPr>
          <w:rFonts w:hint="eastAsia"/>
        </w:rPr>
      </w:pPr>
    </w:p>
    <w:p w:rsidR="00F66372" w:rsidRPr="00F66372" w:rsidRDefault="00F66372">
      <w:pPr>
        <w:pStyle w:val="a0"/>
        <w:spacing w:before="93"/>
      </w:pPr>
    </w:p>
    <w:p w:rsidR="00F8018B" w:rsidRDefault="00E11388">
      <w:pPr>
        <w:numPr>
          <w:ilvl w:val="0"/>
          <w:numId w:val="3"/>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0"/>
      <w:bookmarkEnd w:id="51"/>
    </w:p>
    <w:p w:rsidR="00F8018B" w:rsidRDefault="00F8018B">
      <w:pPr>
        <w:spacing w:line="600" w:lineRule="exact"/>
        <w:jc w:val="left"/>
        <w:rPr>
          <w:rFonts w:ascii="宋体"/>
          <w:b/>
          <w:color w:val="000000"/>
          <w:sz w:val="44"/>
          <w:szCs w:val="44"/>
        </w:rPr>
      </w:pPr>
    </w:p>
    <w:p w:rsidR="00F8018B" w:rsidRDefault="00E11388">
      <w:pPr>
        <w:pStyle w:val="Default"/>
        <w:spacing w:line="580" w:lineRule="exact"/>
        <w:ind w:firstLineChars="200" w:firstLine="640"/>
        <w:jc w:val="both"/>
        <w:rPr>
          <w:rFonts w:ascii="仿宋_GB2312" w:eastAsia="仿宋_GB2312"/>
          <w:sz w:val="32"/>
          <w:szCs w:val="32"/>
        </w:rPr>
      </w:pPr>
      <w:bookmarkStart w:id="52" w:name="_Toc15377226"/>
      <w:r>
        <w:rPr>
          <w:rFonts w:ascii="仿宋_GB2312" w:eastAsia="仿宋_GB2312" w:hint="eastAsia"/>
          <w:sz w:val="32"/>
          <w:szCs w:val="32"/>
        </w:rPr>
        <w:t>1．财政拨款收入：指单位从同级财政部门取得的财政预算资金。</w:t>
      </w:r>
    </w:p>
    <w:p w:rsidR="00F8018B" w:rsidRDefault="00E11388">
      <w:pPr>
        <w:pStyle w:val="Default"/>
        <w:spacing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2．公共安全支出（类）公安（款）行政运行（项）:指主要用于在职在编人员基本工资、津贴补贴，保障机关正常运转的日常公用支出。</w:t>
      </w:r>
      <w:r>
        <w:rPr>
          <w:rFonts w:ascii="仿宋_GB2312" w:eastAsia="仿宋_GB2312" w:cs="Times New Roman" w:hint="eastAsia"/>
          <w:sz w:val="32"/>
          <w:szCs w:val="32"/>
        </w:rPr>
        <w:br/>
      </w:r>
      <w:r>
        <w:rPr>
          <w:rFonts w:ascii="仿宋_GB2312" w:eastAsia="仿宋_GB2312" w:cs="仿宋_GB2312" w:hint="eastAsia"/>
          <w:sz w:val="32"/>
          <w:szCs w:val="32"/>
        </w:rPr>
        <w:t xml:space="preserve">　　3．公共安全支出（类）公安（款）一般行政管理事务（项）:　指主要用于</w:t>
      </w:r>
      <w:r>
        <w:rPr>
          <w:rFonts w:hAnsi="??" w:cs="宋体" w:hint="eastAsia"/>
          <w:sz w:val="32"/>
        </w:rPr>
        <w:t>研究新的历史时期我省维护稳定、加强政法队伍建设、社会治安综合治理、反腐败和严厉打击各种犯罪、司法改革、司法监督等遇到的新情况、新问题，提出对策建议；研究司法实践中的具体法律适用问题，积极提出完善立法建议</w:t>
      </w:r>
      <w:r>
        <w:rPr>
          <w:rFonts w:ascii="仿宋_GB2312" w:eastAsia="仿宋_GB2312" w:cs="仿宋_GB2312" w:hint="eastAsia"/>
          <w:sz w:val="32"/>
          <w:szCs w:val="32"/>
        </w:rPr>
        <w:t>。</w:t>
      </w:r>
      <w:r>
        <w:rPr>
          <w:rFonts w:ascii="仿宋_GB2312" w:eastAsia="仿宋_GB2312" w:cs="Times New Roman" w:hint="eastAsia"/>
          <w:sz w:val="32"/>
          <w:szCs w:val="32"/>
        </w:rPr>
        <w:br/>
      </w:r>
      <w:r>
        <w:rPr>
          <w:rFonts w:ascii="仿宋_GB2312" w:eastAsia="仿宋_GB2312" w:cs="仿宋_GB2312" w:hint="eastAsia"/>
          <w:sz w:val="32"/>
          <w:szCs w:val="32"/>
        </w:rPr>
        <w:t xml:space="preserve">　　4．社会保障和就业支出（类）行政事业单位养老支出（款）机关事业单位基本养老保险缴费支出（项）:指主要用于单位基本养老保险缴费。</w:t>
      </w:r>
    </w:p>
    <w:p w:rsidR="00F8018B" w:rsidRDefault="00E1138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5．卫生健康支出（类）行政事业单位医疗（款）行政单位医疗（项）：指用于单位基本医疗保险缴费。</w:t>
      </w:r>
      <w:r>
        <w:rPr>
          <w:rFonts w:ascii="仿宋_GB2312" w:eastAsia="仿宋_GB2312" w:cs="Times New Roman" w:hint="eastAsia"/>
          <w:sz w:val="32"/>
          <w:szCs w:val="32"/>
        </w:rPr>
        <w:br/>
      </w:r>
      <w:r>
        <w:rPr>
          <w:rFonts w:ascii="仿宋_GB2312" w:eastAsia="仿宋_GB2312" w:cs="仿宋_GB2312" w:hint="eastAsia"/>
          <w:sz w:val="32"/>
          <w:szCs w:val="32"/>
        </w:rPr>
        <w:t xml:space="preserve">　　6．卫生健康支出（类）行政事业单位医疗（款）公务员医疗补助（项）:指用于单位公务员医疗补助。</w:t>
      </w:r>
      <w:r>
        <w:rPr>
          <w:rFonts w:ascii="仿宋_GB2312" w:eastAsia="仿宋_GB2312" w:cs="Times New Roman" w:hint="eastAsia"/>
          <w:sz w:val="32"/>
          <w:szCs w:val="32"/>
        </w:rPr>
        <w:br/>
      </w:r>
      <w:r>
        <w:rPr>
          <w:rFonts w:ascii="仿宋_GB2312" w:eastAsia="仿宋_GB2312" w:cs="仿宋_GB2312" w:hint="eastAsia"/>
          <w:sz w:val="32"/>
          <w:szCs w:val="32"/>
        </w:rPr>
        <w:t xml:space="preserve">　　7．住房保障支出（类）住房改革支出（款）住房公积金（项）:指按照相关政策规定比例为个人缴纳的住房公积金。</w:t>
      </w:r>
      <w:r>
        <w:rPr>
          <w:rFonts w:ascii="仿宋_GB2312" w:eastAsia="仿宋_GB2312" w:cs="Times New Roman" w:hint="eastAsia"/>
          <w:sz w:val="32"/>
          <w:szCs w:val="32"/>
        </w:rPr>
        <w:br/>
      </w:r>
      <w:r>
        <w:rPr>
          <w:rFonts w:ascii="仿宋_GB2312" w:eastAsia="仿宋_GB2312" w:cs="仿宋_GB2312" w:hint="eastAsia"/>
          <w:sz w:val="32"/>
          <w:szCs w:val="32"/>
        </w:rPr>
        <w:lastRenderedPageBreak/>
        <w:t xml:space="preserve">　　8．住房保障支出（类）住房改革支出（款）购房补贴（项）:指按照相关政策规定，向符合条件的个人发放的用于购买住房的补贴。</w:t>
      </w:r>
    </w:p>
    <w:p w:rsidR="00F8018B" w:rsidRDefault="00E11388">
      <w:pPr>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9．基本支出：指为保障机构正常运转、完成日常工作任务而发生的人员支出和公用支出。</w:t>
      </w:r>
    </w:p>
    <w:p w:rsidR="00F8018B" w:rsidRDefault="00E11388">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10．项目支出：指在基本支出之外为完成特定行政任务和事业发展目标所发生的支出。 </w:t>
      </w:r>
    </w:p>
    <w:p w:rsidR="00F8018B" w:rsidRDefault="00E11388">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11．机关运行经费：为保障行政单位运行用于服务的各项开支，包括办公费、劳务费、工会经费、福利费以及其他费用。</w:t>
      </w:r>
    </w:p>
    <w:p w:rsidR="00F8018B" w:rsidRDefault="00E11388">
      <w:pPr>
        <w:spacing w:line="600" w:lineRule="exact"/>
        <w:jc w:val="center"/>
        <w:outlineLvl w:val="0"/>
        <w:rPr>
          <w:rStyle w:val="1Char"/>
          <w:rFonts w:ascii="黑体" w:eastAsia="黑体" w:hAnsi="黑体"/>
          <w:b w:val="0"/>
        </w:rPr>
      </w:pPr>
      <w:r>
        <w:rPr>
          <w:rFonts w:ascii="宋体"/>
          <w:b/>
          <w:color w:val="000000"/>
          <w:sz w:val="44"/>
          <w:szCs w:val="44"/>
        </w:rPr>
        <w:br w:type="page"/>
      </w:r>
      <w:bookmarkStart w:id="53"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3"/>
    </w:p>
    <w:p w:rsidR="00F8018B" w:rsidRDefault="00F8018B">
      <w:pPr>
        <w:spacing w:line="580" w:lineRule="exact"/>
        <w:rPr>
          <w:rFonts w:ascii="仿宋_GB2312" w:eastAsia="仿宋_GB2312" w:hAnsi="仿宋_GB2312" w:cs="仿宋_GB2312"/>
          <w:sz w:val="32"/>
          <w:szCs w:val="32"/>
        </w:rPr>
      </w:pPr>
    </w:p>
    <w:p w:rsidR="00F8018B" w:rsidRDefault="00E11388">
      <w:pPr>
        <w:adjustRightInd w:val="0"/>
        <w:snapToGrid w:val="0"/>
        <w:spacing w:line="600" w:lineRule="exact"/>
        <w:ind w:firstLineChars="200" w:firstLine="640"/>
        <w:rPr>
          <w:rFonts w:ascii="仿宋_GB2312" w:eastAsia="仿宋_GB2312" w:hAnsi="宋体"/>
          <w:sz w:val="32"/>
          <w:szCs w:val="32"/>
          <w:lang w:val="zh-CN"/>
        </w:rPr>
      </w:pPr>
      <w:bookmarkStart w:id="54" w:name="_Toc15396618"/>
      <w:r>
        <w:rPr>
          <w:rFonts w:ascii="仿宋_GB2312" w:eastAsia="仿宋_GB2312" w:hAnsi="宋体" w:hint="eastAsia"/>
          <w:sz w:val="32"/>
          <w:szCs w:val="32"/>
          <w:lang w:val="zh-CN"/>
        </w:rPr>
        <w:t>无</w:t>
      </w:r>
      <w:r w:rsidR="00F66372">
        <w:rPr>
          <w:rFonts w:ascii="仿宋_GB2312" w:eastAsia="仿宋_GB2312" w:hAnsi="宋体" w:hint="eastAsia"/>
          <w:sz w:val="32"/>
          <w:szCs w:val="32"/>
          <w:lang w:val="zh-CN"/>
        </w:rPr>
        <w:t>内容</w:t>
      </w: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F8018B">
      <w:pPr>
        <w:spacing w:line="600" w:lineRule="exact"/>
        <w:jc w:val="center"/>
        <w:outlineLvl w:val="0"/>
        <w:rPr>
          <w:rFonts w:ascii="黑体" w:eastAsia="黑体" w:hAnsi="黑体"/>
          <w:color w:val="000000"/>
          <w:sz w:val="44"/>
          <w:szCs w:val="44"/>
        </w:rPr>
      </w:pPr>
    </w:p>
    <w:p w:rsidR="00F8018B" w:rsidRDefault="00E11388">
      <w:pPr>
        <w:spacing w:line="600" w:lineRule="exact"/>
        <w:jc w:val="center"/>
        <w:outlineLvl w:val="0"/>
        <w:rPr>
          <w:rFonts w:ascii="仿宋" w:eastAsia="仿宋" w:hAnsi="仿宋"/>
          <w:color w:val="00000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F8018B" w:rsidRDefault="00E11388">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55"/>
    </w:p>
    <w:p w:rsidR="00F8018B" w:rsidRDefault="00E11388">
      <w:pPr>
        <w:pStyle w:val="2"/>
        <w:rPr>
          <w:rFonts w:ascii="仿宋" w:eastAsia="仿宋" w:hAnsi="仿宋"/>
          <w:color w:val="000000"/>
        </w:rPr>
      </w:pPr>
      <w:bookmarkStart w:id="56" w:name="_Toc15396620"/>
      <w:r>
        <w:rPr>
          <w:rFonts w:ascii="仿宋" w:eastAsia="仿宋" w:hAnsi="仿宋" w:hint="eastAsia"/>
          <w:b w:val="0"/>
          <w:color w:val="000000"/>
        </w:rPr>
        <w:t>二、收</w:t>
      </w:r>
      <w:r>
        <w:rPr>
          <w:rStyle w:val="2Char"/>
          <w:rFonts w:ascii="仿宋" w:eastAsia="仿宋" w:hAnsi="仿宋" w:hint="eastAsia"/>
        </w:rPr>
        <w:t>入决算表</w:t>
      </w:r>
      <w:bookmarkEnd w:id="56"/>
    </w:p>
    <w:p w:rsidR="00F8018B" w:rsidRDefault="00E11388">
      <w:pPr>
        <w:pStyle w:val="2"/>
        <w:rPr>
          <w:rFonts w:ascii="仿宋" w:eastAsia="仿宋" w:hAnsi="仿宋"/>
          <w:color w:val="000000"/>
        </w:rPr>
      </w:pPr>
      <w:bookmarkStart w:id="57"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7"/>
    </w:p>
    <w:p w:rsidR="00F8018B" w:rsidRDefault="00E11388">
      <w:pPr>
        <w:pStyle w:val="2"/>
        <w:rPr>
          <w:rFonts w:ascii="仿宋" w:eastAsia="仿宋" w:hAnsi="仿宋"/>
          <w:b w:val="0"/>
          <w:color w:val="000000"/>
        </w:rPr>
      </w:pPr>
      <w:bookmarkStart w:id="58"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8"/>
    </w:p>
    <w:p w:rsidR="00F8018B" w:rsidRDefault="00E11388">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0" w:name="_Toc15396624"/>
      <w:bookmarkEnd w:id="59"/>
    </w:p>
    <w:p w:rsidR="00F8018B" w:rsidRDefault="00E11388">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0"/>
    </w:p>
    <w:p w:rsidR="00F8018B" w:rsidRDefault="00E11388">
      <w:pPr>
        <w:pStyle w:val="2"/>
        <w:rPr>
          <w:rFonts w:ascii="仿宋" w:eastAsia="仿宋" w:hAnsi="仿宋"/>
          <w:color w:val="000000"/>
        </w:rPr>
      </w:pPr>
      <w:bookmarkStart w:id="61"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1"/>
    </w:p>
    <w:p w:rsidR="00F8018B" w:rsidRDefault="00E11388">
      <w:pPr>
        <w:pStyle w:val="2"/>
        <w:rPr>
          <w:rFonts w:ascii="仿宋" w:eastAsia="仿宋" w:hAnsi="仿宋"/>
          <w:color w:val="000000"/>
        </w:rPr>
      </w:pPr>
      <w:bookmarkStart w:id="62"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2"/>
    </w:p>
    <w:p w:rsidR="00F8018B" w:rsidRDefault="00E11388">
      <w:pPr>
        <w:pStyle w:val="2"/>
        <w:rPr>
          <w:rFonts w:ascii="仿宋" w:eastAsia="仿宋" w:hAnsi="仿宋"/>
          <w:color w:val="000000"/>
        </w:rPr>
      </w:pPr>
      <w:bookmarkStart w:id="63"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3"/>
    </w:p>
    <w:p w:rsidR="00F8018B" w:rsidRDefault="00E11388">
      <w:pPr>
        <w:pStyle w:val="2"/>
        <w:rPr>
          <w:rFonts w:ascii="仿宋" w:eastAsia="仿宋" w:hAnsi="仿宋"/>
          <w:color w:val="000000"/>
        </w:rPr>
      </w:pPr>
      <w:bookmarkStart w:id="64"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4"/>
    </w:p>
    <w:p w:rsidR="00F8018B" w:rsidRDefault="00E11388">
      <w:pPr>
        <w:pStyle w:val="2"/>
        <w:rPr>
          <w:rFonts w:ascii="仿宋" w:eastAsia="仿宋" w:hAnsi="仿宋"/>
          <w:color w:val="000000"/>
        </w:rPr>
      </w:pPr>
      <w:bookmarkStart w:id="65"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5"/>
    </w:p>
    <w:p w:rsidR="00F8018B" w:rsidRDefault="00E11388">
      <w:pPr>
        <w:pStyle w:val="2"/>
        <w:rPr>
          <w:rFonts w:ascii="仿宋" w:eastAsia="仿宋" w:hAnsi="仿宋"/>
          <w:color w:val="000000"/>
        </w:rPr>
      </w:pPr>
      <w:bookmarkStart w:id="66"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6"/>
    </w:p>
    <w:p w:rsidR="00F8018B" w:rsidRDefault="00E11388">
      <w:pPr>
        <w:pStyle w:val="2"/>
        <w:rPr>
          <w:rStyle w:val="2Char"/>
          <w:rFonts w:ascii="仿宋" w:eastAsia="仿宋" w:hAnsi="仿宋"/>
        </w:rPr>
      </w:pPr>
      <w:bookmarkStart w:id="67"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7"/>
    </w:p>
    <w:p w:rsidR="00F8018B" w:rsidRDefault="00E11388">
      <w:pPr>
        <w:rPr>
          <w:rFonts w:eastAsia="仿宋"/>
        </w:rPr>
      </w:pPr>
      <w:r>
        <w:rPr>
          <w:rStyle w:val="2Char"/>
          <w:rFonts w:ascii="仿宋" w:eastAsia="仿宋" w:hAnsi="仿宋" w:hint="eastAsia"/>
          <w:b w:val="0"/>
          <w:bCs w:val="0"/>
        </w:rPr>
        <w:t>十四、国有资本经营预算财政拨款支出决算表</w:t>
      </w:r>
    </w:p>
    <w:sectPr w:rsidR="00F8018B" w:rsidSect="00F8018B">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89" w:rsidRDefault="00F81F89" w:rsidP="00F8018B">
      <w:r>
        <w:separator/>
      </w:r>
    </w:p>
  </w:endnote>
  <w:endnote w:type="continuationSeparator" w:id="0">
    <w:p w:rsidR="00F81F89" w:rsidRDefault="00F81F89" w:rsidP="00F80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F8018B" w:rsidRDefault="00B93CA9">
        <w:pPr>
          <w:pStyle w:val="a5"/>
          <w:jc w:val="center"/>
        </w:pPr>
        <w:r>
          <w:fldChar w:fldCharType="begin"/>
        </w:r>
        <w:r w:rsidR="00E11388">
          <w:instrText>PAGE   \* MERGEFORMAT</w:instrText>
        </w:r>
        <w:r>
          <w:fldChar w:fldCharType="separate"/>
        </w:r>
        <w:r w:rsidR="00F66372" w:rsidRPr="00F66372">
          <w:rPr>
            <w:noProof/>
            <w:lang w:val="zh-CN"/>
          </w:rPr>
          <w:t>10</w:t>
        </w:r>
        <w:r>
          <w:fldChar w:fldCharType="end"/>
        </w:r>
      </w:p>
    </w:sdtContent>
  </w:sdt>
  <w:p w:rsidR="00F8018B" w:rsidRDefault="00F801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89" w:rsidRDefault="00F81F89" w:rsidP="00F8018B">
      <w:r>
        <w:separator/>
      </w:r>
    </w:p>
  </w:footnote>
  <w:footnote w:type="continuationSeparator" w:id="0">
    <w:p w:rsidR="00F81F89" w:rsidRDefault="00F81F89" w:rsidP="00F8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8B" w:rsidRDefault="00F8018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077E"/>
    <w:rsid w:val="00020DB6"/>
    <w:rsid w:val="000222C6"/>
    <w:rsid w:val="0002549F"/>
    <w:rsid w:val="00025F0B"/>
    <w:rsid w:val="000300AD"/>
    <w:rsid w:val="00033A47"/>
    <w:rsid w:val="000402E6"/>
    <w:rsid w:val="000432BC"/>
    <w:rsid w:val="000468DB"/>
    <w:rsid w:val="0005258B"/>
    <w:rsid w:val="000609E7"/>
    <w:rsid w:val="000621B7"/>
    <w:rsid w:val="0006487A"/>
    <w:rsid w:val="00065F8F"/>
    <w:rsid w:val="00070A43"/>
    <w:rsid w:val="000768F2"/>
    <w:rsid w:val="0008069A"/>
    <w:rsid w:val="00081899"/>
    <w:rsid w:val="0009184B"/>
    <w:rsid w:val="000940B4"/>
    <w:rsid w:val="00094236"/>
    <w:rsid w:val="0009593C"/>
    <w:rsid w:val="00095CA4"/>
    <w:rsid w:val="00097322"/>
    <w:rsid w:val="000A6A92"/>
    <w:rsid w:val="000B047F"/>
    <w:rsid w:val="000B5923"/>
    <w:rsid w:val="000B5A48"/>
    <w:rsid w:val="000B6FF3"/>
    <w:rsid w:val="000C3467"/>
    <w:rsid w:val="000C3CA6"/>
    <w:rsid w:val="000D1267"/>
    <w:rsid w:val="000D1D50"/>
    <w:rsid w:val="000D55C0"/>
    <w:rsid w:val="000D5782"/>
    <w:rsid w:val="000D7411"/>
    <w:rsid w:val="000E6613"/>
    <w:rsid w:val="000E7119"/>
    <w:rsid w:val="000E78D3"/>
    <w:rsid w:val="00106FCF"/>
    <w:rsid w:val="00114E9B"/>
    <w:rsid w:val="00122A8A"/>
    <w:rsid w:val="0012347A"/>
    <w:rsid w:val="001237B6"/>
    <w:rsid w:val="0012699F"/>
    <w:rsid w:val="00142216"/>
    <w:rsid w:val="00144D6A"/>
    <w:rsid w:val="00144EF4"/>
    <w:rsid w:val="0014729F"/>
    <w:rsid w:val="00157BAB"/>
    <w:rsid w:val="001612CA"/>
    <w:rsid w:val="001654D1"/>
    <w:rsid w:val="00174518"/>
    <w:rsid w:val="0018106D"/>
    <w:rsid w:val="0018118B"/>
    <w:rsid w:val="001871CD"/>
    <w:rsid w:val="001877A7"/>
    <w:rsid w:val="00191536"/>
    <w:rsid w:val="00196687"/>
    <w:rsid w:val="001C0962"/>
    <w:rsid w:val="001C5707"/>
    <w:rsid w:val="001C74C9"/>
    <w:rsid w:val="001D7531"/>
    <w:rsid w:val="001E2139"/>
    <w:rsid w:val="001E737D"/>
    <w:rsid w:val="001F0592"/>
    <w:rsid w:val="001F114B"/>
    <w:rsid w:val="001F7506"/>
    <w:rsid w:val="002006CD"/>
    <w:rsid w:val="00202B36"/>
    <w:rsid w:val="00204B7A"/>
    <w:rsid w:val="00204CDE"/>
    <w:rsid w:val="0021101A"/>
    <w:rsid w:val="00220536"/>
    <w:rsid w:val="00235629"/>
    <w:rsid w:val="0025702F"/>
    <w:rsid w:val="00260C38"/>
    <w:rsid w:val="002616C0"/>
    <w:rsid w:val="002638DC"/>
    <w:rsid w:val="00265372"/>
    <w:rsid w:val="002662AA"/>
    <w:rsid w:val="00276EBA"/>
    <w:rsid w:val="00280496"/>
    <w:rsid w:val="00294DC9"/>
    <w:rsid w:val="00295495"/>
    <w:rsid w:val="002A31DE"/>
    <w:rsid w:val="002B2613"/>
    <w:rsid w:val="002C5F07"/>
    <w:rsid w:val="002D5A98"/>
    <w:rsid w:val="002D6D05"/>
    <w:rsid w:val="002F1818"/>
    <w:rsid w:val="002F567B"/>
    <w:rsid w:val="002F7FE8"/>
    <w:rsid w:val="00301D61"/>
    <w:rsid w:val="003216A9"/>
    <w:rsid w:val="00335A74"/>
    <w:rsid w:val="003470CD"/>
    <w:rsid w:val="00353617"/>
    <w:rsid w:val="003601EC"/>
    <w:rsid w:val="0036561B"/>
    <w:rsid w:val="00367415"/>
    <w:rsid w:val="0037013F"/>
    <w:rsid w:val="00380C92"/>
    <w:rsid w:val="00392F8F"/>
    <w:rsid w:val="00397635"/>
    <w:rsid w:val="003A484F"/>
    <w:rsid w:val="003A4883"/>
    <w:rsid w:val="003B0BE0"/>
    <w:rsid w:val="003B0C1B"/>
    <w:rsid w:val="003B228A"/>
    <w:rsid w:val="003B688C"/>
    <w:rsid w:val="003C0291"/>
    <w:rsid w:val="003C180F"/>
    <w:rsid w:val="003C39AE"/>
    <w:rsid w:val="003C7B60"/>
    <w:rsid w:val="003D0C0F"/>
    <w:rsid w:val="003D1FB2"/>
    <w:rsid w:val="003D66DA"/>
    <w:rsid w:val="003D7C47"/>
    <w:rsid w:val="003E1310"/>
    <w:rsid w:val="003E6F55"/>
    <w:rsid w:val="003F3E2D"/>
    <w:rsid w:val="00406254"/>
    <w:rsid w:val="00414C71"/>
    <w:rsid w:val="004223DE"/>
    <w:rsid w:val="0043081F"/>
    <w:rsid w:val="00434489"/>
    <w:rsid w:val="00437085"/>
    <w:rsid w:val="00443880"/>
    <w:rsid w:val="004464F4"/>
    <w:rsid w:val="00453ED6"/>
    <w:rsid w:val="00471401"/>
    <w:rsid w:val="00473C37"/>
    <w:rsid w:val="00473F31"/>
    <w:rsid w:val="0048263A"/>
    <w:rsid w:val="00487E5D"/>
    <w:rsid w:val="004A711F"/>
    <w:rsid w:val="004B199D"/>
    <w:rsid w:val="004B4690"/>
    <w:rsid w:val="004B599F"/>
    <w:rsid w:val="004C5C65"/>
    <w:rsid w:val="004D1FDF"/>
    <w:rsid w:val="004E0A2D"/>
    <w:rsid w:val="004E206B"/>
    <w:rsid w:val="004E6DF7"/>
    <w:rsid w:val="004F0FBD"/>
    <w:rsid w:val="004F6CBB"/>
    <w:rsid w:val="00505A47"/>
    <w:rsid w:val="00512FDA"/>
    <w:rsid w:val="005140EA"/>
    <w:rsid w:val="00520DA0"/>
    <w:rsid w:val="00542D7D"/>
    <w:rsid w:val="00564446"/>
    <w:rsid w:val="005664BB"/>
    <w:rsid w:val="00566FFA"/>
    <w:rsid w:val="005702A0"/>
    <w:rsid w:val="0057481D"/>
    <w:rsid w:val="0058486E"/>
    <w:rsid w:val="00585B33"/>
    <w:rsid w:val="0059014D"/>
    <w:rsid w:val="005B21BA"/>
    <w:rsid w:val="005B5C64"/>
    <w:rsid w:val="005C5337"/>
    <w:rsid w:val="005C6BD0"/>
    <w:rsid w:val="005D02D1"/>
    <w:rsid w:val="005D1C8B"/>
    <w:rsid w:val="005D36B0"/>
    <w:rsid w:val="005D468D"/>
    <w:rsid w:val="005D5CED"/>
    <w:rsid w:val="005E518F"/>
    <w:rsid w:val="005F1A4C"/>
    <w:rsid w:val="00605688"/>
    <w:rsid w:val="006070AF"/>
    <w:rsid w:val="00607E6C"/>
    <w:rsid w:val="006101B1"/>
    <w:rsid w:val="00614E44"/>
    <w:rsid w:val="0062270A"/>
    <w:rsid w:val="00622830"/>
    <w:rsid w:val="00623DA0"/>
    <w:rsid w:val="00623DE3"/>
    <w:rsid w:val="00630AEF"/>
    <w:rsid w:val="006325F8"/>
    <w:rsid w:val="00633463"/>
    <w:rsid w:val="00634C9A"/>
    <w:rsid w:val="006440E4"/>
    <w:rsid w:val="00650AE4"/>
    <w:rsid w:val="0066343B"/>
    <w:rsid w:val="00664777"/>
    <w:rsid w:val="0067196C"/>
    <w:rsid w:val="006748A4"/>
    <w:rsid w:val="00681A31"/>
    <w:rsid w:val="00683E73"/>
    <w:rsid w:val="006A3141"/>
    <w:rsid w:val="006A490B"/>
    <w:rsid w:val="006A5E34"/>
    <w:rsid w:val="006B2422"/>
    <w:rsid w:val="006B2B9A"/>
    <w:rsid w:val="006B660D"/>
    <w:rsid w:val="006C0AE8"/>
    <w:rsid w:val="006C1937"/>
    <w:rsid w:val="006E431B"/>
    <w:rsid w:val="006F020C"/>
    <w:rsid w:val="006F3966"/>
    <w:rsid w:val="00702256"/>
    <w:rsid w:val="007067FF"/>
    <w:rsid w:val="007127B7"/>
    <w:rsid w:val="00716D27"/>
    <w:rsid w:val="0071798E"/>
    <w:rsid w:val="00726A56"/>
    <w:rsid w:val="00734260"/>
    <w:rsid w:val="00734462"/>
    <w:rsid w:val="007416B6"/>
    <w:rsid w:val="007426F0"/>
    <w:rsid w:val="007445AC"/>
    <w:rsid w:val="00746F48"/>
    <w:rsid w:val="0075404D"/>
    <w:rsid w:val="0076182A"/>
    <w:rsid w:val="00767B7E"/>
    <w:rsid w:val="007770C3"/>
    <w:rsid w:val="00784D24"/>
    <w:rsid w:val="00785FBA"/>
    <w:rsid w:val="00786E4A"/>
    <w:rsid w:val="007875EB"/>
    <w:rsid w:val="0079426B"/>
    <w:rsid w:val="007B60F0"/>
    <w:rsid w:val="007C2736"/>
    <w:rsid w:val="007D1682"/>
    <w:rsid w:val="007D312A"/>
    <w:rsid w:val="007D3F19"/>
    <w:rsid w:val="007D71C8"/>
    <w:rsid w:val="007E23B0"/>
    <w:rsid w:val="007E23E5"/>
    <w:rsid w:val="007F1991"/>
    <w:rsid w:val="007F2C2F"/>
    <w:rsid w:val="007F55FC"/>
    <w:rsid w:val="007F5665"/>
    <w:rsid w:val="00800112"/>
    <w:rsid w:val="00813348"/>
    <w:rsid w:val="00814D8C"/>
    <w:rsid w:val="00815C53"/>
    <w:rsid w:val="00823F14"/>
    <w:rsid w:val="008253BB"/>
    <w:rsid w:val="00827814"/>
    <w:rsid w:val="0083706E"/>
    <w:rsid w:val="008408F6"/>
    <w:rsid w:val="008413E0"/>
    <w:rsid w:val="0084203E"/>
    <w:rsid w:val="008423A5"/>
    <w:rsid w:val="00850625"/>
    <w:rsid w:val="00853718"/>
    <w:rsid w:val="00855221"/>
    <w:rsid w:val="00855835"/>
    <w:rsid w:val="00860645"/>
    <w:rsid w:val="00871F71"/>
    <w:rsid w:val="00872FD8"/>
    <w:rsid w:val="0088066B"/>
    <w:rsid w:val="00885AF4"/>
    <w:rsid w:val="008939CD"/>
    <w:rsid w:val="008B768C"/>
    <w:rsid w:val="008B7B52"/>
    <w:rsid w:val="008C24D2"/>
    <w:rsid w:val="008C4DB1"/>
    <w:rsid w:val="008C4EAF"/>
    <w:rsid w:val="008C5176"/>
    <w:rsid w:val="008C7FD0"/>
    <w:rsid w:val="008E1DE7"/>
    <w:rsid w:val="008E707C"/>
    <w:rsid w:val="008F44EE"/>
    <w:rsid w:val="00900B08"/>
    <w:rsid w:val="00902155"/>
    <w:rsid w:val="00902FA3"/>
    <w:rsid w:val="00923564"/>
    <w:rsid w:val="0092392E"/>
    <w:rsid w:val="009310A7"/>
    <w:rsid w:val="009315F9"/>
    <w:rsid w:val="00933499"/>
    <w:rsid w:val="00935C98"/>
    <w:rsid w:val="00946945"/>
    <w:rsid w:val="00947C1D"/>
    <w:rsid w:val="00951248"/>
    <w:rsid w:val="0095152F"/>
    <w:rsid w:val="00954C49"/>
    <w:rsid w:val="00955E37"/>
    <w:rsid w:val="0097099F"/>
    <w:rsid w:val="00971997"/>
    <w:rsid w:val="00971B21"/>
    <w:rsid w:val="00971FFC"/>
    <w:rsid w:val="00973490"/>
    <w:rsid w:val="00982FAC"/>
    <w:rsid w:val="0098660A"/>
    <w:rsid w:val="009931C3"/>
    <w:rsid w:val="009B2C43"/>
    <w:rsid w:val="009B4EAE"/>
    <w:rsid w:val="009B7573"/>
    <w:rsid w:val="009C22F4"/>
    <w:rsid w:val="009C2A4B"/>
    <w:rsid w:val="009C2E98"/>
    <w:rsid w:val="009D3447"/>
    <w:rsid w:val="009D4711"/>
    <w:rsid w:val="009D7431"/>
    <w:rsid w:val="009F1185"/>
    <w:rsid w:val="009F18CD"/>
    <w:rsid w:val="009F2A13"/>
    <w:rsid w:val="009F2F94"/>
    <w:rsid w:val="009F7527"/>
    <w:rsid w:val="00A04EB0"/>
    <w:rsid w:val="00A13CC1"/>
    <w:rsid w:val="00A16847"/>
    <w:rsid w:val="00A23618"/>
    <w:rsid w:val="00A237D8"/>
    <w:rsid w:val="00A268C4"/>
    <w:rsid w:val="00A307CD"/>
    <w:rsid w:val="00A331C8"/>
    <w:rsid w:val="00A40A00"/>
    <w:rsid w:val="00A4142F"/>
    <w:rsid w:val="00A422EB"/>
    <w:rsid w:val="00A458FC"/>
    <w:rsid w:val="00A45BB7"/>
    <w:rsid w:val="00A513CD"/>
    <w:rsid w:val="00A52E2E"/>
    <w:rsid w:val="00A56DF2"/>
    <w:rsid w:val="00A56E6E"/>
    <w:rsid w:val="00A67AB5"/>
    <w:rsid w:val="00A733B2"/>
    <w:rsid w:val="00A741C2"/>
    <w:rsid w:val="00A91022"/>
    <w:rsid w:val="00A91760"/>
    <w:rsid w:val="00A93B00"/>
    <w:rsid w:val="00A93C21"/>
    <w:rsid w:val="00AA2E61"/>
    <w:rsid w:val="00AB64C9"/>
    <w:rsid w:val="00AC3C6A"/>
    <w:rsid w:val="00AD5620"/>
    <w:rsid w:val="00AD656B"/>
    <w:rsid w:val="00AD7C1B"/>
    <w:rsid w:val="00AE16BA"/>
    <w:rsid w:val="00AE1EBE"/>
    <w:rsid w:val="00B03C9D"/>
    <w:rsid w:val="00B060AE"/>
    <w:rsid w:val="00B10517"/>
    <w:rsid w:val="00B1202D"/>
    <w:rsid w:val="00B14E76"/>
    <w:rsid w:val="00B161B8"/>
    <w:rsid w:val="00B2048C"/>
    <w:rsid w:val="00B310B9"/>
    <w:rsid w:val="00B342F4"/>
    <w:rsid w:val="00B35F3F"/>
    <w:rsid w:val="00B36CBB"/>
    <w:rsid w:val="00B425E0"/>
    <w:rsid w:val="00B42ED3"/>
    <w:rsid w:val="00B440AA"/>
    <w:rsid w:val="00B44B70"/>
    <w:rsid w:val="00B46A75"/>
    <w:rsid w:val="00B53C56"/>
    <w:rsid w:val="00B57DAF"/>
    <w:rsid w:val="00B65087"/>
    <w:rsid w:val="00B74982"/>
    <w:rsid w:val="00B77EA6"/>
    <w:rsid w:val="00B801C2"/>
    <w:rsid w:val="00B81598"/>
    <w:rsid w:val="00B8242D"/>
    <w:rsid w:val="00B841F1"/>
    <w:rsid w:val="00B85F4B"/>
    <w:rsid w:val="00B93CA9"/>
    <w:rsid w:val="00B944D6"/>
    <w:rsid w:val="00BB4DF0"/>
    <w:rsid w:val="00BC00E3"/>
    <w:rsid w:val="00BC289F"/>
    <w:rsid w:val="00BC2D50"/>
    <w:rsid w:val="00BC5361"/>
    <w:rsid w:val="00BC5460"/>
    <w:rsid w:val="00BC6B50"/>
    <w:rsid w:val="00BD0E25"/>
    <w:rsid w:val="00BE1FBF"/>
    <w:rsid w:val="00BF5BD6"/>
    <w:rsid w:val="00C03E31"/>
    <w:rsid w:val="00C30B28"/>
    <w:rsid w:val="00C33E72"/>
    <w:rsid w:val="00C354B2"/>
    <w:rsid w:val="00C35554"/>
    <w:rsid w:val="00C42709"/>
    <w:rsid w:val="00C533CC"/>
    <w:rsid w:val="00C5751C"/>
    <w:rsid w:val="00C61BFC"/>
    <w:rsid w:val="00C62B85"/>
    <w:rsid w:val="00C65438"/>
    <w:rsid w:val="00C742F6"/>
    <w:rsid w:val="00C87FD8"/>
    <w:rsid w:val="00C91381"/>
    <w:rsid w:val="00C91CBB"/>
    <w:rsid w:val="00CB4E70"/>
    <w:rsid w:val="00CC09B6"/>
    <w:rsid w:val="00CC666F"/>
    <w:rsid w:val="00CD1E3F"/>
    <w:rsid w:val="00CE44F6"/>
    <w:rsid w:val="00CE49DA"/>
    <w:rsid w:val="00CE7B61"/>
    <w:rsid w:val="00CF50FE"/>
    <w:rsid w:val="00D00095"/>
    <w:rsid w:val="00D049E2"/>
    <w:rsid w:val="00D114F0"/>
    <w:rsid w:val="00D12C1C"/>
    <w:rsid w:val="00D167B2"/>
    <w:rsid w:val="00D20620"/>
    <w:rsid w:val="00D254F7"/>
    <w:rsid w:val="00D26091"/>
    <w:rsid w:val="00D2685C"/>
    <w:rsid w:val="00D27C1B"/>
    <w:rsid w:val="00D34E7C"/>
    <w:rsid w:val="00D35489"/>
    <w:rsid w:val="00D36AFE"/>
    <w:rsid w:val="00D47C78"/>
    <w:rsid w:val="00D51276"/>
    <w:rsid w:val="00D5581D"/>
    <w:rsid w:val="00D574D4"/>
    <w:rsid w:val="00D7035F"/>
    <w:rsid w:val="00D7054B"/>
    <w:rsid w:val="00D827F9"/>
    <w:rsid w:val="00DA634F"/>
    <w:rsid w:val="00DA65AC"/>
    <w:rsid w:val="00DB1913"/>
    <w:rsid w:val="00DB1E7F"/>
    <w:rsid w:val="00DC410D"/>
    <w:rsid w:val="00DC5A81"/>
    <w:rsid w:val="00DC68CA"/>
    <w:rsid w:val="00DC7CBA"/>
    <w:rsid w:val="00DD73B7"/>
    <w:rsid w:val="00DF1067"/>
    <w:rsid w:val="00DF28BC"/>
    <w:rsid w:val="00DF34B9"/>
    <w:rsid w:val="00E01053"/>
    <w:rsid w:val="00E07ACF"/>
    <w:rsid w:val="00E11388"/>
    <w:rsid w:val="00E22CB0"/>
    <w:rsid w:val="00E24E76"/>
    <w:rsid w:val="00E331A1"/>
    <w:rsid w:val="00E33202"/>
    <w:rsid w:val="00E336A9"/>
    <w:rsid w:val="00E472B1"/>
    <w:rsid w:val="00E5057F"/>
    <w:rsid w:val="00E50624"/>
    <w:rsid w:val="00E568DF"/>
    <w:rsid w:val="00E6420A"/>
    <w:rsid w:val="00E64269"/>
    <w:rsid w:val="00E72236"/>
    <w:rsid w:val="00E820D3"/>
    <w:rsid w:val="00E82267"/>
    <w:rsid w:val="00E853CE"/>
    <w:rsid w:val="00E867B6"/>
    <w:rsid w:val="00E9068B"/>
    <w:rsid w:val="00EA010F"/>
    <w:rsid w:val="00EA77A7"/>
    <w:rsid w:val="00EC4A16"/>
    <w:rsid w:val="00ED1A89"/>
    <w:rsid w:val="00ED1B63"/>
    <w:rsid w:val="00ED3C1F"/>
    <w:rsid w:val="00ED4085"/>
    <w:rsid w:val="00ED420E"/>
    <w:rsid w:val="00ED6FBE"/>
    <w:rsid w:val="00EE2F57"/>
    <w:rsid w:val="00EE418D"/>
    <w:rsid w:val="00EE5F89"/>
    <w:rsid w:val="00EF4C34"/>
    <w:rsid w:val="00EF77C6"/>
    <w:rsid w:val="00F05438"/>
    <w:rsid w:val="00F1361C"/>
    <w:rsid w:val="00F156F0"/>
    <w:rsid w:val="00F160C7"/>
    <w:rsid w:val="00F2408F"/>
    <w:rsid w:val="00F240E9"/>
    <w:rsid w:val="00F36D8F"/>
    <w:rsid w:val="00F40AD0"/>
    <w:rsid w:val="00F417B1"/>
    <w:rsid w:val="00F45853"/>
    <w:rsid w:val="00F46851"/>
    <w:rsid w:val="00F5332B"/>
    <w:rsid w:val="00F602DF"/>
    <w:rsid w:val="00F66372"/>
    <w:rsid w:val="00F70204"/>
    <w:rsid w:val="00F754A1"/>
    <w:rsid w:val="00F8018B"/>
    <w:rsid w:val="00F81F89"/>
    <w:rsid w:val="00F81FD9"/>
    <w:rsid w:val="00F841AA"/>
    <w:rsid w:val="00F84A94"/>
    <w:rsid w:val="00F87E96"/>
    <w:rsid w:val="00FA23E8"/>
    <w:rsid w:val="00FB135A"/>
    <w:rsid w:val="00FB47DA"/>
    <w:rsid w:val="00FD3CC1"/>
    <w:rsid w:val="00FE3A08"/>
    <w:rsid w:val="00FF0B3B"/>
    <w:rsid w:val="00FF1E02"/>
    <w:rsid w:val="00FF30B4"/>
    <w:rsid w:val="0A2032A3"/>
    <w:rsid w:val="10C055FF"/>
    <w:rsid w:val="118107EC"/>
    <w:rsid w:val="138B6300"/>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018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8018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801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8018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F8018B"/>
    <w:pPr>
      <w:spacing w:beforeLines="30"/>
    </w:pPr>
    <w:rPr>
      <w:rFonts w:ascii="仿宋_GB2312" w:eastAsia="仿宋_GB2312"/>
      <w:kern w:val="0"/>
      <w:sz w:val="30"/>
    </w:rPr>
  </w:style>
  <w:style w:type="paragraph" w:styleId="30">
    <w:name w:val="toc 3"/>
    <w:basedOn w:val="a"/>
    <w:next w:val="a"/>
    <w:uiPriority w:val="39"/>
    <w:unhideWhenUsed/>
    <w:qFormat/>
    <w:rsid w:val="00F8018B"/>
    <w:pPr>
      <w:tabs>
        <w:tab w:val="right" w:leader="dot" w:pos="8296"/>
      </w:tabs>
      <w:ind w:leftChars="400" w:left="840"/>
    </w:pPr>
  </w:style>
  <w:style w:type="paragraph" w:styleId="a4">
    <w:name w:val="Balloon Text"/>
    <w:basedOn w:val="a"/>
    <w:link w:val="Char0"/>
    <w:uiPriority w:val="99"/>
    <w:semiHidden/>
    <w:unhideWhenUsed/>
    <w:qFormat/>
    <w:rsid w:val="00F8018B"/>
    <w:rPr>
      <w:sz w:val="18"/>
      <w:szCs w:val="18"/>
    </w:rPr>
  </w:style>
  <w:style w:type="paragraph" w:styleId="a5">
    <w:name w:val="footer"/>
    <w:basedOn w:val="a"/>
    <w:link w:val="Char1"/>
    <w:uiPriority w:val="99"/>
    <w:qFormat/>
    <w:rsid w:val="00F8018B"/>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F8018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8018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8018B"/>
    <w:pPr>
      <w:tabs>
        <w:tab w:val="right" w:leader="dot" w:pos="8296"/>
      </w:tabs>
      <w:ind w:leftChars="200" w:left="420"/>
    </w:pPr>
  </w:style>
  <w:style w:type="character" w:styleId="a7">
    <w:name w:val="Strong"/>
    <w:basedOn w:val="a1"/>
    <w:uiPriority w:val="99"/>
    <w:qFormat/>
    <w:rsid w:val="00F8018B"/>
    <w:rPr>
      <w:b/>
    </w:rPr>
  </w:style>
  <w:style w:type="character" w:styleId="a8">
    <w:name w:val="Hyperlink"/>
    <w:basedOn w:val="a1"/>
    <w:uiPriority w:val="99"/>
    <w:unhideWhenUsed/>
    <w:qFormat/>
    <w:rsid w:val="00F8018B"/>
    <w:rPr>
      <w:color w:val="0000FF" w:themeColor="hyperlink"/>
      <w:u w:val="single"/>
    </w:rPr>
  </w:style>
  <w:style w:type="character" w:customStyle="1" w:styleId="HeaderChar">
    <w:name w:val="Header Char"/>
    <w:basedOn w:val="a1"/>
    <w:uiPriority w:val="99"/>
    <w:semiHidden/>
    <w:qFormat/>
    <w:rsid w:val="00F8018B"/>
    <w:rPr>
      <w:rFonts w:ascii="Times New Roman" w:hAnsi="Times New Roman"/>
      <w:sz w:val="18"/>
      <w:szCs w:val="18"/>
    </w:rPr>
  </w:style>
  <w:style w:type="character" w:customStyle="1" w:styleId="Char2">
    <w:name w:val="页眉 Char"/>
    <w:link w:val="a6"/>
    <w:uiPriority w:val="99"/>
    <w:semiHidden/>
    <w:qFormat/>
    <w:locked/>
    <w:rsid w:val="00F8018B"/>
    <w:rPr>
      <w:sz w:val="18"/>
    </w:rPr>
  </w:style>
  <w:style w:type="character" w:customStyle="1" w:styleId="FooterChar">
    <w:name w:val="Footer Char"/>
    <w:basedOn w:val="a1"/>
    <w:uiPriority w:val="99"/>
    <w:semiHidden/>
    <w:qFormat/>
    <w:rsid w:val="00F8018B"/>
    <w:rPr>
      <w:rFonts w:ascii="Times New Roman" w:hAnsi="Times New Roman"/>
      <w:sz w:val="18"/>
      <w:szCs w:val="18"/>
    </w:rPr>
  </w:style>
  <w:style w:type="character" w:customStyle="1" w:styleId="Char1">
    <w:name w:val="页脚 Char"/>
    <w:link w:val="a5"/>
    <w:uiPriority w:val="99"/>
    <w:qFormat/>
    <w:locked/>
    <w:rsid w:val="00F8018B"/>
    <w:rPr>
      <w:sz w:val="18"/>
    </w:rPr>
  </w:style>
  <w:style w:type="character" w:customStyle="1" w:styleId="BodyTextChar">
    <w:name w:val="Body Text Char"/>
    <w:basedOn w:val="a1"/>
    <w:uiPriority w:val="99"/>
    <w:semiHidden/>
    <w:qFormat/>
    <w:rsid w:val="00F8018B"/>
    <w:rPr>
      <w:rFonts w:ascii="Times New Roman" w:hAnsi="Times New Roman"/>
      <w:szCs w:val="24"/>
    </w:rPr>
  </w:style>
  <w:style w:type="character" w:customStyle="1" w:styleId="Char">
    <w:name w:val="正文文本 Char"/>
    <w:link w:val="a0"/>
    <w:uiPriority w:val="99"/>
    <w:qFormat/>
    <w:locked/>
    <w:rsid w:val="00F8018B"/>
    <w:rPr>
      <w:rFonts w:ascii="仿宋_GB2312" w:eastAsia="仿宋_GB2312" w:hAnsi="Times New Roman"/>
      <w:sz w:val="24"/>
    </w:rPr>
  </w:style>
  <w:style w:type="paragraph" w:customStyle="1" w:styleId="Default">
    <w:name w:val="Default"/>
    <w:uiPriority w:val="99"/>
    <w:qFormat/>
    <w:rsid w:val="00F8018B"/>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F8018B"/>
    <w:pPr>
      <w:ind w:firstLineChars="200" w:firstLine="420"/>
    </w:pPr>
  </w:style>
  <w:style w:type="character" w:customStyle="1" w:styleId="1Char">
    <w:name w:val="标题 1 Char"/>
    <w:basedOn w:val="a1"/>
    <w:link w:val="1"/>
    <w:uiPriority w:val="9"/>
    <w:qFormat/>
    <w:rsid w:val="00F8018B"/>
    <w:rPr>
      <w:rFonts w:ascii="Times New Roman" w:hAnsi="Times New Roman"/>
      <w:b/>
      <w:bCs/>
      <w:kern w:val="44"/>
      <w:sz w:val="44"/>
      <w:szCs w:val="44"/>
    </w:rPr>
  </w:style>
  <w:style w:type="character" w:customStyle="1" w:styleId="2Char">
    <w:name w:val="标题 2 Char"/>
    <w:basedOn w:val="a1"/>
    <w:link w:val="2"/>
    <w:uiPriority w:val="9"/>
    <w:qFormat/>
    <w:rsid w:val="00F8018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801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F8018B"/>
    <w:rPr>
      <w:rFonts w:ascii="Times New Roman" w:hAnsi="Times New Roman"/>
      <w:kern w:val="2"/>
      <w:sz w:val="18"/>
      <w:szCs w:val="18"/>
    </w:rPr>
  </w:style>
  <w:style w:type="character" w:customStyle="1" w:styleId="3Char">
    <w:name w:val="标题 3 Char"/>
    <w:basedOn w:val="a1"/>
    <w:link w:val="3"/>
    <w:uiPriority w:val="9"/>
    <w:qFormat/>
    <w:rsid w:val="00F8018B"/>
    <w:rPr>
      <w:rFonts w:ascii="Times New Roman" w:hAnsi="Times New Roman"/>
      <w:b/>
      <w:bCs/>
      <w:kern w:val="2"/>
      <w:sz w:val="32"/>
      <w:szCs w:val="32"/>
    </w:rPr>
  </w:style>
  <w:style w:type="paragraph" w:customStyle="1" w:styleId="TOC2">
    <w:name w:val="TOC 标题2"/>
    <w:basedOn w:val="1"/>
    <w:next w:val="a"/>
    <w:uiPriority w:val="39"/>
    <w:unhideWhenUsed/>
    <w:qFormat/>
    <w:rsid w:val="00F801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6774193548387746E-2"/>
          <c:y val="3.4749034749034798E-2"/>
          <c:w val="0.71612903225808733"/>
          <c:h val="0.82625482625483748"/>
        </c:manualLayout>
      </c:layout>
      <c:barChart>
        <c:barDir val="col"/>
        <c:grouping val="clustered"/>
        <c:ser>
          <c:idx val="1"/>
          <c:order val="0"/>
          <c:tx>
            <c:strRef>
              <c:f>Sheet1!$A$2</c:f>
              <c:strCache>
                <c:ptCount val="1"/>
                <c:pt idx="0">
                  <c:v>2020年</c:v>
                </c:pt>
              </c:strCache>
            </c:strRef>
          </c:tx>
          <c:spPr>
            <a:solidFill>
              <a:srgbClr val="993366"/>
            </a:solidFill>
            <a:ln w="12611">
              <a:solidFill>
                <a:srgbClr val="000000"/>
              </a:solidFill>
              <a:prstDash val="solid"/>
            </a:ln>
          </c:spPr>
          <c:dLbls>
            <c:dLbl>
              <c:idx val="0"/>
              <c:layout>
                <c:manualLayout>
                  <c:x val="-3.6533241576955831E-2"/>
                  <c:y val="-4.8251908838795224E-2"/>
                </c:manualLayout>
              </c:layout>
              <c:dLblPos val="outEnd"/>
              <c:showVal val="1"/>
              <c:extLst>
                <c:ext xmlns:c15="http://schemas.microsoft.com/office/drawing/2012/chart" uri="{CE6537A1-D6FC-4f65-9D91-7224C49458BB}">
                  <c15:layout/>
                </c:ext>
              </c:extLst>
            </c:dLbl>
            <c:dLbl>
              <c:idx val="1"/>
              <c:layout>
                <c:manualLayout>
                  <c:x val="2.0721286868293106E-2"/>
                  <c:y val="-4.8251908838795224E-2"/>
                </c:manualLayout>
              </c:layout>
              <c:dLblPos val="outEnd"/>
              <c:showVal val="1"/>
              <c:extLst>
                <c:ext xmlns:c15="http://schemas.microsoft.com/office/drawing/2012/chart" uri="{CE6537A1-D6FC-4f65-9D91-7224C49458BB}">
                  <c15:layout/>
                </c:ext>
              </c:extLst>
            </c:dLbl>
            <c:spPr>
              <a:noFill/>
              <a:ln w="25223">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v>181.17</c:v>
                </c:pt>
                <c:pt idx="1">
                  <c:v>181.17</c:v>
                </c:pt>
              </c:numCache>
            </c:numRef>
          </c:val>
        </c:ser>
        <c:ser>
          <c:idx val="2"/>
          <c:order val="1"/>
          <c:tx>
            <c:strRef>
              <c:f>Sheet1!$A$3</c:f>
              <c:strCache>
                <c:ptCount val="1"/>
                <c:pt idx="0">
                  <c:v>2021年</c:v>
                </c:pt>
              </c:strCache>
            </c:strRef>
          </c:tx>
          <c:spPr>
            <a:solidFill>
              <a:srgbClr val="FFFFCC"/>
            </a:solidFill>
            <a:ln w="12611">
              <a:solidFill>
                <a:srgbClr val="000000"/>
              </a:solidFill>
              <a:prstDash val="solid"/>
            </a:ln>
          </c:spPr>
          <c:dLbls>
            <c:dLbl>
              <c:idx val="0"/>
              <c:layout>
                <c:manualLayout>
                  <c:x val="2.8673174230278906E-2"/>
                  <c:y val="-3.2466155680452011E-2"/>
                </c:manualLayout>
              </c:layout>
              <c:dLblPos val="outEnd"/>
              <c:showVal val="1"/>
              <c:extLst>
                <c:ext xmlns:c15="http://schemas.microsoft.com/office/drawing/2012/chart" uri="{CE6537A1-D6FC-4f65-9D91-7224C49458BB}">
                  <c15:layout/>
                </c:ext>
              </c:extLst>
            </c:dLbl>
            <c:dLbl>
              <c:idx val="1"/>
              <c:layout>
                <c:manualLayout>
                  <c:x val="9.2379130634166459E-2"/>
                  <c:y val="-3.2466155680452011E-2"/>
                </c:manualLayout>
              </c:layout>
              <c:dLblPos val="outEnd"/>
              <c:showVal val="1"/>
              <c:extLst>
                <c:ext xmlns:c15="http://schemas.microsoft.com/office/drawing/2012/chart" uri="{CE6537A1-D6FC-4f65-9D91-7224C49458BB}">
                  <c15:layout/>
                </c:ext>
              </c:extLst>
            </c:dLbl>
            <c:spPr>
              <a:noFill/>
              <a:ln w="25223">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v>208.39000000000001</c:v>
                </c:pt>
                <c:pt idx="1">
                  <c:v>208.39000000000001</c:v>
                </c:pt>
              </c:numCache>
            </c:numRef>
          </c:val>
        </c:ser>
        <c:dLbls>
          <c:showVal val="1"/>
        </c:dLbls>
        <c:axId val="63309312"/>
        <c:axId val="63310848"/>
      </c:barChart>
      <c:catAx>
        <c:axId val="63309312"/>
        <c:scaling>
          <c:orientation val="minMax"/>
        </c:scaling>
        <c:axPos val="b"/>
        <c:numFmt formatCode="General" sourceLinked="1"/>
        <c:majorTickMark val="in"/>
        <c:tickLblPos val="low"/>
        <c:spPr>
          <a:ln w="3153" cap="flat" cmpd="sng" algn="ctr">
            <a:solidFill>
              <a:srgbClr val="000000"/>
            </a:solidFill>
            <a:prstDash val="solid"/>
            <a:round/>
          </a:ln>
        </c:spPr>
        <c:txPr>
          <a:bodyPr rot="0" spcFirstLastPara="0" vertOverflow="ellipsis" vert="horz" wrap="square"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63310848"/>
        <c:crosses val="autoZero"/>
        <c:auto val="1"/>
        <c:lblAlgn val="ctr"/>
        <c:lblOffset val="100"/>
        <c:tickLblSkip val="1"/>
      </c:catAx>
      <c:valAx>
        <c:axId val="63310848"/>
        <c:scaling>
          <c:orientation val="minMax"/>
        </c:scaling>
        <c:axPos val="l"/>
        <c:majorGridlines>
          <c:spPr>
            <a:ln w="3153" cap="flat" cmpd="sng" algn="ctr">
              <a:solidFill>
                <a:srgbClr val="000000"/>
              </a:solidFill>
              <a:prstDash val="solid"/>
              <a:round/>
            </a:ln>
          </c:spPr>
        </c:majorGridlines>
        <c:numFmt formatCode="General" sourceLinked="1"/>
        <c:majorTickMark val="in"/>
        <c:tickLblPos val="nextTo"/>
        <c:spPr>
          <a:ln w="3153" cap="flat" cmpd="sng" algn="ctr">
            <a:solidFill>
              <a:srgbClr val="000000"/>
            </a:solidFill>
            <a:prstDash val="solid"/>
            <a:round/>
          </a:ln>
        </c:spPr>
        <c:txPr>
          <a:bodyPr rot="0" spcFirstLastPara="0" vertOverflow="ellipsis" vert="horz" wrap="square"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6330931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3655913978494556"/>
          <c:y val="0.41698841698842393"/>
          <c:w val="0.15483870967741931"/>
          <c:h val="0.166023166023166"/>
        </c:manualLayout>
      </c:layout>
      <c:spPr>
        <a:noFill/>
        <a:ln w="3153">
          <a:solidFill>
            <a:srgbClr val="000000"/>
          </a:solidFill>
          <a:prstDash val="solid"/>
        </a:ln>
      </c:spPr>
      <c:txPr>
        <a:bodyPr rot="0" spcFirstLastPara="0" vertOverflow="ellipsis" vert="horz" wrap="square" anchor="ctr" anchorCtr="1"/>
        <a:lstStyle/>
        <a:p>
          <a:pPr>
            <a:defRPr lang="zh-CN" sz="10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119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822784810126952"/>
          <c:y val="0.19708029197080301"/>
          <c:w val="0.35443037974683955"/>
          <c:h val="0.61313868613139511"/>
        </c:manualLayout>
      </c:layout>
      <c:pieChart>
        <c:varyColors val="1"/>
        <c:ser>
          <c:idx val="0"/>
          <c:order val="0"/>
          <c:tx>
            <c:strRef>
              <c:f>Sheet1!$A$2</c:f>
              <c:strCache>
                <c:ptCount val="1"/>
                <c:pt idx="0">
                  <c:v>2021年</c:v>
                </c:pt>
              </c:strCache>
            </c:strRef>
          </c:tx>
          <c:spPr>
            <a:solidFill>
              <a:srgbClr val="9999FF"/>
            </a:solidFill>
            <a:ln w="12631">
              <a:solidFill>
                <a:srgbClr val="000000"/>
              </a:solidFill>
              <a:prstDash val="solid"/>
            </a:ln>
          </c:spPr>
          <c:dLbls>
            <c:numFmt formatCode="0%" sourceLinked="0"/>
            <c:spPr>
              <a:noFill/>
              <a:ln w="25262">
                <a:noFill/>
              </a:ln>
              <a:effectLst/>
            </c:spPr>
            <c:txPr>
              <a:bodyPr rot="0" spcFirstLastPara="0" vertOverflow="ellipsis" vert="horz" wrap="square" lIns="38100" tIns="19050" rIns="38100" bIns="19050" anchor="ctr" anchorCtr="1"/>
              <a:lstStyle/>
              <a:p>
                <a:pPr>
                  <a:defRPr lang="zh-CN" sz="119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Sheet1!$B$1:$B$1</c:f>
              <c:strCache>
                <c:ptCount val="1"/>
                <c:pt idx="0">
                  <c:v>一般公共预算财政拨款收入</c:v>
                </c:pt>
              </c:strCache>
            </c:strRef>
          </c:cat>
          <c:val>
            <c:numRef>
              <c:f>Sheet1!$B$2:$B$2</c:f>
              <c:numCache>
                <c:formatCode>General</c:formatCode>
                <c:ptCount val="1"/>
                <c:pt idx="0">
                  <c:v>208.39000000000001</c:v>
                </c:pt>
              </c:numCache>
            </c:numRef>
          </c:val>
        </c:ser>
        <c:dLbls>
          <c:showPercent val="1"/>
        </c:dLbls>
        <c:firstSliceAng val="0"/>
      </c:pieChart>
      <c:spPr>
        <a:solidFill>
          <a:srgbClr val="C0C0C0"/>
        </a:solidFill>
        <a:ln w="12631">
          <a:solidFill>
            <a:srgbClr val="808080"/>
          </a:solidFill>
          <a:prstDash val="solid"/>
        </a:ln>
      </c:spPr>
    </c:plotArea>
    <c:legend>
      <c:legendPos val="r"/>
      <c:layout>
        <c:manualLayout>
          <c:xMode val="edge"/>
          <c:yMode val="edge"/>
          <c:x val="0.670886075949367"/>
          <c:y val="0.42700729927007874"/>
          <c:w val="0.32067510548523231"/>
          <c:h val="0.14598540145985631"/>
        </c:manualLayout>
      </c:layout>
      <c:spPr>
        <a:noFill/>
        <a:ln w="3158">
          <a:solidFill>
            <a:srgbClr val="000000"/>
          </a:solidFill>
          <a:prstDash val="solid"/>
        </a:ln>
      </c:spPr>
      <c:txPr>
        <a:bodyPr rot="0" spcFirstLastPara="0" vertOverflow="ellipsis" vert="horz" wrap="square" anchor="ctr" anchorCtr="1"/>
        <a:lstStyle/>
        <a:p>
          <a:pPr>
            <a:defRPr lang="zh-CN" sz="109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19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036529680365301"/>
          <c:y val="0.221854304635762"/>
          <c:w val="0.38812785388128362"/>
          <c:h val="0.56291390728476798"/>
        </c:manualLayout>
      </c:layout>
      <c:pieChart>
        <c:varyColors val="1"/>
        <c:ser>
          <c:idx val="0"/>
          <c:order val="0"/>
          <c:tx>
            <c:strRef>
              <c:f>Sheet1!$A$2</c:f>
              <c:strCache>
                <c:ptCount val="1"/>
                <c:pt idx="0">
                  <c:v>2021年支出合计</c:v>
                </c:pt>
              </c:strCache>
            </c:strRef>
          </c:tx>
          <c:spPr>
            <a:solidFill>
              <a:srgbClr val="9999FF"/>
            </a:solidFill>
            <a:ln w="12609">
              <a:solidFill>
                <a:srgbClr val="000000"/>
              </a:solidFill>
              <a:prstDash val="solid"/>
            </a:ln>
          </c:spPr>
          <c:dPt>
            <c:idx val="1"/>
            <c:spPr>
              <a:solidFill>
                <a:srgbClr val="993366"/>
              </a:solidFill>
              <a:ln w="12609">
                <a:solidFill>
                  <a:srgbClr val="000000"/>
                </a:solidFill>
                <a:prstDash val="solid"/>
              </a:ln>
            </c:spPr>
          </c:dPt>
          <c:dLbls>
            <c:numFmt formatCode="0.00%" sourceLinked="0"/>
            <c:spPr>
              <a:noFill/>
              <a:ln w="25218">
                <a:noFill/>
              </a:ln>
              <a:effectLst/>
            </c:spPr>
            <c:txPr>
              <a:bodyPr rot="0" spcFirstLastPara="0" vertOverflow="ellipsis" vert="horz" wrap="square" lIns="38100" tIns="19050" rIns="38100" bIns="19050" anchor="ctr" anchorCtr="1"/>
              <a:lstStyle/>
              <a:p>
                <a:pPr>
                  <a:defRPr lang="zh-CN" sz="1415"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Sheet1!$B$1:$C$1</c:f>
              <c:strCache>
                <c:ptCount val="2"/>
                <c:pt idx="0">
                  <c:v>基本支出</c:v>
                </c:pt>
                <c:pt idx="1">
                  <c:v>项目支出</c:v>
                </c:pt>
              </c:strCache>
            </c:strRef>
          </c:cat>
          <c:val>
            <c:numRef>
              <c:f>Sheet1!$B$2:$C$2</c:f>
              <c:numCache>
                <c:formatCode>General</c:formatCode>
                <c:ptCount val="2"/>
                <c:pt idx="0">
                  <c:v>196.39000000000001</c:v>
                </c:pt>
                <c:pt idx="1">
                  <c:v>12</c:v>
                </c:pt>
              </c:numCache>
            </c:numRef>
          </c:val>
        </c:ser>
        <c:dLbls>
          <c:showPercent val="1"/>
        </c:dLbls>
        <c:firstSliceAng val="15"/>
      </c:pieChart>
      <c:spPr>
        <a:solidFill>
          <a:srgbClr val="C0C0C0"/>
        </a:solidFill>
        <a:ln w="12609">
          <a:solidFill>
            <a:srgbClr val="808080"/>
          </a:solidFill>
          <a:prstDash val="solid"/>
        </a:ln>
        <a:effectLst/>
      </c:spPr>
    </c:plotArea>
    <c:legend>
      <c:legendPos val="r"/>
      <c:layout>
        <c:manualLayout>
          <c:xMode val="edge"/>
          <c:yMode val="edge"/>
          <c:x val="0.74657534246575463"/>
          <c:y val="0.40728476821192455"/>
          <c:w val="0.20706242059656743"/>
          <c:h val="0.16126280179103331"/>
        </c:manualLayout>
      </c:layout>
      <c:spPr>
        <a:noFill/>
        <a:ln w="3152">
          <a:solidFill>
            <a:srgbClr val="000000"/>
          </a:solidFill>
          <a:prstDash val="solid"/>
        </a:ln>
      </c:spPr>
      <c:txPr>
        <a:bodyPr rot="0" spcFirstLastPara="0" vertOverflow="ellipsis" vert="horz" wrap="square" anchor="ctr" anchorCtr="1"/>
        <a:lstStyle/>
        <a:p>
          <a:pPr>
            <a:defRPr lang="zh-CN" sz="13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41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0250569476082012"/>
          <c:y val="5.3003533568904602E-2"/>
          <c:w val="0.6993166287015945"/>
          <c:h val="0.81978798586571588"/>
        </c:manualLayout>
      </c:layout>
      <c:barChart>
        <c:barDir val="col"/>
        <c:grouping val="clustered"/>
        <c:ser>
          <c:idx val="1"/>
          <c:order val="0"/>
          <c:tx>
            <c:strRef>
              <c:f>Sheet1!$A$2</c:f>
              <c:strCache>
                <c:ptCount val="1"/>
                <c:pt idx="0">
                  <c:v>2020年</c:v>
                </c:pt>
              </c:strCache>
            </c:strRef>
          </c:tx>
          <c:spPr>
            <a:solidFill>
              <a:srgbClr val="993366"/>
            </a:solidFill>
            <a:ln w="12601">
              <a:solidFill>
                <a:srgbClr val="000000"/>
              </a:solidFill>
              <a:prstDash val="solid"/>
            </a:ln>
          </c:spPr>
          <c:dLbls>
            <c:spPr>
              <a:noFill/>
              <a:ln w="25203">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Sheet1!$B$1:$E$1</c:f>
              <c:strCache>
                <c:ptCount val="2"/>
                <c:pt idx="0">
                  <c:v>收入</c:v>
                </c:pt>
                <c:pt idx="1">
                  <c:v>支出</c:v>
                </c:pt>
              </c:strCache>
            </c:strRef>
          </c:cat>
          <c:val>
            <c:numRef>
              <c:f>Sheet1!$B$2:$E$2</c:f>
              <c:numCache>
                <c:formatCode>General</c:formatCode>
                <c:ptCount val="4"/>
                <c:pt idx="0">
                  <c:v>181.17</c:v>
                </c:pt>
                <c:pt idx="1">
                  <c:v>181.17</c:v>
                </c:pt>
              </c:numCache>
            </c:numRef>
          </c:val>
        </c:ser>
        <c:ser>
          <c:idx val="2"/>
          <c:order val="1"/>
          <c:tx>
            <c:strRef>
              <c:f>Sheet1!$A$3</c:f>
              <c:strCache>
                <c:ptCount val="1"/>
                <c:pt idx="0">
                  <c:v>2021年</c:v>
                </c:pt>
              </c:strCache>
            </c:strRef>
          </c:tx>
          <c:spPr>
            <a:solidFill>
              <a:srgbClr val="FFFFCC"/>
            </a:solidFill>
            <a:ln w="12601">
              <a:solidFill>
                <a:srgbClr val="000000"/>
              </a:solidFill>
              <a:prstDash val="solid"/>
            </a:ln>
          </c:spPr>
          <c:dLbls>
            <c:spPr>
              <a:noFill/>
              <a:ln w="25203">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Sheet1!$B$1:$E$1</c:f>
              <c:strCache>
                <c:ptCount val="2"/>
                <c:pt idx="0">
                  <c:v>收入</c:v>
                </c:pt>
                <c:pt idx="1">
                  <c:v>支出</c:v>
                </c:pt>
              </c:strCache>
            </c:strRef>
          </c:cat>
          <c:val>
            <c:numRef>
              <c:f>Sheet1!$B$3:$E$3</c:f>
              <c:numCache>
                <c:formatCode>General</c:formatCode>
                <c:ptCount val="4"/>
                <c:pt idx="0">
                  <c:v>208.39000000000001</c:v>
                </c:pt>
                <c:pt idx="1">
                  <c:v>208.39000000000001</c:v>
                </c:pt>
              </c:numCache>
            </c:numRef>
          </c:val>
        </c:ser>
        <c:dLbls>
          <c:showVal val="1"/>
        </c:dLbls>
        <c:axId val="95396992"/>
        <c:axId val="95398528"/>
      </c:barChart>
      <c:catAx>
        <c:axId val="95396992"/>
        <c:scaling>
          <c:orientation val="minMax"/>
        </c:scaling>
        <c:axPos val="b"/>
        <c:numFmt formatCode="General" sourceLinked="1"/>
        <c:majorTickMark val="in"/>
        <c:tickLblPos val="low"/>
        <c:spPr>
          <a:ln w="3150" cap="flat" cmpd="sng" algn="ctr">
            <a:solidFill>
              <a:srgbClr val="000000"/>
            </a:solidFill>
            <a:prstDash val="solid"/>
            <a:round/>
          </a:ln>
        </c:spPr>
        <c:txPr>
          <a:bodyPr rot="0" spcFirstLastPara="0" vertOverflow="ellipsis" vert="horz" wrap="square"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95398528"/>
        <c:crosses val="autoZero"/>
        <c:auto val="1"/>
        <c:lblAlgn val="ctr"/>
        <c:lblOffset val="100"/>
        <c:tickLblSkip val="1"/>
      </c:catAx>
      <c:valAx>
        <c:axId val="95398528"/>
        <c:scaling>
          <c:orientation val="minMax"/>
        </c:scaling>
        <c:axPos val="l"/>
        <c:majorGridlines>
          <c:spPr>
            <a:ln w="3150" cap="flat" cmpd="sng" algn="ctr">
              <a:solidFill>
                <a:srgbClr val="000000"/>
              </a:solidFill>
              <a:prstDash val="solid"/>
              <a:round/>
            </a:ln>
          </c:spPr>
        </c:majorGridlines>
        <c:numFmt formatCode="General" sourceLinked="1"/>
        <c:majorTickMark val="in"/>
        <c:tickLblPos val="nextTo"/>
        <c:spPr>
          <a:ln w="3150" cap="flat" cmpd="sng" algn="ctr">
            <a:solidFill>
              <a:srgbClr val="000000"/>
            </a:solidFill>
            <a:prstDash val="solid"/>
            <a:round/>
          </a:ln>
        </c:spPr>
        <c:txPr>
          <a:bodyPr rot="0" spcFirstLastPara="0" vertOverflow="ellipsis" vert="horz" wrap="square"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9539699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2687927107061665"/>
          <c:y val="0.42402826855123732"/>
          <c:w val="0.16400911161731221"/>
          <c:h val="0.1519434628975328"/>
        </c:manualLayout>
      </c:layout>
      <c:spPr>
        <a:noFill/>
        <a:ln w="3150">
          <a:solidFill>
            <a:srgbClr val="000000"/>
          </a:solidFill>
          <a:prstDash val="solid"/>
        </a:ln>
      </c:spPr>
      <c:txPr>
        <a:bodyPr rot="0" spcFirstLastPara="0" vertOverflow="ellipsis" vert="horz" wrap="square" anchor="ctr" anchorCtr="1"/>
        <a:lstStyle/>
        <a:p>
          <a:pPr>
            <a:defRPr lang="zh-CN" sz="10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119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2465373961218802"/>
          <c:y val="4.7619047619047623E-2"/>
          <c:w val="0.6814404432133041"/>
          <c:h val="0.80086580086580161"/>
        </c:manualLayout>
      </c:layout>
      <c:barChart>
        <c:barDir val="col"/>
        <c:grouping val="clustered"/>
        <c:ser>
          <c:idx val="0"/>
          <c:order val="0"/>
          <c:tx>
            <c:strRef>
              <c:f>Sheet1!$A$2</c:f>
              <c:strCache>
                <c:ptCount val="1"/>
                <c:pt idx="0">
                  <c:v>2020</c:v>
                </c:pt>
              </c:strCache>
            </c:strRef>
          </c:tx>
          <c:spPr>
            <a:solidFill>
              <a:srgbClr val="9999FF"/>
            </a:solidFill>
            <a:ln w="12614">
              <a:solidFill>
                <a:srgbClr val="000000"/>
              </a:solidFill>
              <a:prstDash val="solid"/>
            </a:ln>
          </c:spPr>
          <c:dLbls>
            <c:spPr>
              <a:noFill/>
              <a:ln w="25228">
                <a:noFill/>
              </a:ln>
              <a:effectLst/>
            </c:spPr>
            <c:txPr>
              <a:bodyPr rot="0" spcFirstLastPara="0" vertOverflow="ellipsis" vert="horz" wrap="square" lIns="38100" tIns="19050" rIns="38100" bIns="19050" anchor="ctr" anchorCtr="1"/>
              <a:lstStyle/>
              <a:p>
                <a:pPr>
                  <a:defRPr lang="zh-CN" sz="11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Sheet1!$B$1:$D$1</c:f>
              <c:strCache>
                <c:ptCount val="1"/>
                <c:pt idx="0">
                  <c:v>支出</c:v>
                </c:pt>
              </c:strCache>
            </c:strRef>
          </c:cat>
          <c:val>
            <c:numRef>
              <c:f>Sheet1!$B$2:$D$2</c:f>
              <c:numCache>
                <c:formatCode>General</c:formatCode>
                <c:ptCount val="2"/>
                <c:pt idx="0">
                  <c:v>181.17</c:v>
                </c:pt>
              </c:numCache>
            </c:numRef>
          </c:val>
        </c:ser>
        <c:ser>
          <c:idx val="1"/>
          <c:order val="1"/>
          <c:tx>
            <c:strRef>
              <c:f>Sheet1!$A$3</c:f>
              <c:strCache>
                <c:ptCount val="1"/>
                <c:pt idx="0">
                  <c:v>2021</c:v>
                </c:pt>
              </c:strCache>
            </c:strRef>
          </c:tx>
          <c:spPr>
            <a:solidFill>
              <a:srgbClr val="993366"/>
            </a:solidFill>
            <a:ln w="12614">
              <a:solidFill>
                <a:srgbClr val="000000"/>
              </a:solidFill>
              <a:prstDash val="solid"/>
            </a:ln>
          </c:spPr>
          <c:dLbls>
            <c:spPr>
              <a:noFill/>
              <a:ln w="25228">
                <a:noFill/>
              </a:ln>
              <a:effectLst/>
            </c:spPr>
            <c:txPr>
              <a:bodyPr rot="0" spcFirstLastPara="0" vertOverflow="ellipsis" vert="horz" wrap="square" lIns="38100" tIns="19050" rIns="38100" bIns="19050" anchor="ctr" anchorCtr="1"/>
              <a:lstStyle/>
              <a:p>
                <a:pPr>
                  <a:defRPr lang="zh-CN" sz="11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Sheet1!$B$1:$D$1</c:f>
              <c:strCache>
                <c:ptCount val="1"/>
                <c:pt idx="0">
                  <c:v>支出</c:v>
                </c:pt>
              </c:strCache>
            </c:strRef>
          </c:cat>
          <c:val>
            <c:numRef>
              <c:f>Sheet1!$B$3:$D$3</c:f>
              <c:numCache>
                <c:formatCode>General</c:formatCode>
                <c:ptCount val="2"/>
                <c:pt idx="0">
                  <c:v>208.39000000000001</c:v>
                </c:pt>
              </c:numCache>
            </c:numRef>
          </c:val>
        </c:ser>
        <c:dLbls>
          <c:showVal val="1"/>
        </c:dLbls>
        <c:axId val="97574272"/>
        <c:axId val="97576064"/>
      </c:barChart>
      <c:catAx>
        <c:axId val="97574272"/>
        <c:scaling>
          <c:orientation val="minMax"/>
        </c:scaling>
        <c:axPos val="b"/>
        <c:numFmt formatCode="General" sourceLinked="1"/>
        <c:majorTickMark val="in"/>
        <c:tickLblPos val="low"/>
        <c:spPr>
          <a:ln w="3154" cap="flat" cmpd="sng" algn="ctr">
            <a:solidFill>
              <a:srgbClr val="000000"/>
            </a:solidFill>
            <a:prstDash val="solid"/>
            <a:round/>
          </a:ln>
        </c:spPr>
        <c:txPr>
          <a:bodyPr rot="0" spcFirstLastPara="0" vertOverflow="ellipsis" vert="horz" wrap="square" anchor="ctr" anchorCtr="1"/>
          <a:lstStyle/>
          <a:p>
            <a:pPr>
              <a:defRPr lang="zh-CN" sz="11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97576064"/>
        <c:crosses val="autoZero"/>
        <c:auto val="1"/>
        <c:lblAlgn val="ctr"/>
        <c:lblOffset val="100"/>
        <c:tickLblSkip val="1"/>
      </c:catAx>
      <c:valAx>
        <c:axId val="97576064"/>
        <c:scaling>
          <c:orientation val="minMax"/>
        </c:scaling>
        <c:axPos val="l"/>
        <c:majorGridlines>
          <c:spPr>
            <a:ln w="3154" cap="flat" cmpd="sng" algn="ctr">
              <a:solidFill>
                <a:srgbClr val="000000"/>
              </a:solidFill>
              <a:prstDash val="solid"/>
              <a:round/>
            </a:ln>
          </c:spPr>
        </c:majorGridlines>
        <c:numFmt formatCode="General" sourceLinked="1"/>
        <c:majorTickMark val="in"/>
        <c:tickLblPos val="nextTo"/>
        <c:spPr>
          <a:ln w="3154" cap="flat" cmpd="sng" algn="ctr">
            <a:solidFill>
              <a:srgbClr val="000000"/>
            </a:solidFill>
            <a:prstDash val="solid"/>
            <a:round/>
          </a:ln>
        </c:spPr>
        <c:txPr>
          <a:bodyPr rot="0" spcFirstLastPara="0" vertOverflow="ellipsis" vert="horz" wrap="square" anchor="ctr" anchorCtr="1"/>
          <a:lstStyle/>
          <a:p>
            <a:pPr>
              <a:defRPr lang="zh-CN" sz="114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9757427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3656509695290859"/>
          <c:y val="0.41125541125541132"/>
          <c:w val="0.15235457063711888"/>
          <c:h val="0.17748917748917931"/>
        </c:manualLayout>
      </c:layout>
      <c:spPr>
        <a:noFill/>
        <a:ln w="3154">
          <a:solidFill>
            <a:srgbClr val="000000"/>
          </a:solidFill>
          <a:prstDash val="solid"/>
        </a:ln>
      </c:spPr>
      <c:txPr>
        <a:bodyPr rot="0" spcFirstLastPara="0" vertOverflow="ellipsis" vert="horz" wrap="square" anchor="ctr" anchorCtr="1"/>
        <a:lstStyle/>
        <a:p>
          <a:pPr>
            <a:defRPr lang="zh-CN" sz="105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a:lstStyle/>
    <a:p>
      <a:pPr>
        <a:defRPr lang="zh-CN" sz="114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407982261640797"/>
          <c:y val="0.20883534136546558"/>
          <c:w val="0.32594235033259855"/>
          <c:h val="0.59036144578312488"/>
        </c:manualLayout>
      </c:layout>
      <c:pieChart>
        <c:varyColors val="1"/>
        <c:ser>
          <c:idx val="0"/>
          <c:order val="0"/>
          <c:tx>
            <c:strRef>
              <c:f>Sheet1!$A$2</c:f>
              <c:strCache>
                <c:ptCount val="1"/>
                <c:pt idx="0">
                  <c:v>2021年一般公共预算财政拨款支出决算</c:v>
                </c:pt>
              </c:strCache>
            </c:strRef>
          </c:tx>
          <c:spPr>
            <a:solidFill>
              <a:srgbClr val="9999FF"/>
            </a:solidFill>
            <a:ln w="12590">
              <a:solidFill>
                <a:srgbClr val="000000"/>
              </a:solidFill>
              <a:prstDash val="solid"/>
            </a:ln>
          </c:spPr>
          <c:dPt>
            <c:idx val="1"/>
            <c:spPr>
              <a:solidFill>
                <a:srgbClr val="993366"/>
              </a:solidFill>
              <a:ln w="12590">
                <a:solidFill>
                  <a:srgbClr val="000000"/>
                </a:solidFill>
                <a:prstDash val="solid"/>
              </a:ln>
            </c:spPr>
          </c:dPt>
          <c:dPt>
            <c:idx val="2"/>
            <c:spPr>
              <a:solidFill>
                <a:srgbClr val="FFFFCC"/>
              </a:solidFill>
              <a:ln w="12590">
                <a:solidFill>
                  <a:srgbClr val="000000"/>
                </a:solidFill>
                <a:prstDash val="solid"/>
              </a:ln>
            </c:spPr>
          </c:dPt>
          <c:dPt>
            <c:idx val="3"/>
            <c:spPr>
              <a:solidFill>
                <a:srgbClr val="CCFFFF"/>
              </a:solidFill>
              <a:ln w="12590">
                <a:solidFill>
                  <a:srgbClr val="000000"/>
                </a:solidFill>
                <a:prstDash val="solid"/>
              </a:ln>
            </c:spPr>
          </c:dPt>
          <c:dLbls>
            <c:numFmt formatCode="0.00%" sourceLinked="0"/>
            <c:spPr>
              <a:noFill/>
              <a:ln w="25181">
                <a:noFill/>
              </a:ln>
              <a:effectLst/>
            </c:spPr>
            <c:txPr>
              <a:bodyPr rot="0" spcFirstLastPara="0" vertOverflow="ellipsis" vert="horz" wrap="square" lIns="38100" tIns="19050" rIns="38100" bIns="19050" anchor="ctr" anchorCtr="1"/>
              <a:lstStyle/>
              <a:p>
                <a:pPr>
                  <a:defRPr lang="zh-CN" sz="11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Sheet1!$B$1:$E$1</c:f>
              <c:strCache>
                <c:ptCount val="4"/>
                <c:pt idx="0">
                  <c:v>公共安全支出(类）</c:v>
                </c:pt>
                <c:pt idx="1">
                  <c:v>社会保障和就业支出(类）</c:v>
                </c:pt>
                <c:pt idx="2">
                  <c:v>卫生健康支出(类）</c:v>
                </c:pt>
                <c:pt idx="3">
                  <c:v>住房保障支出(类）</c:v>
                </c:pt>
              </c:strCache>
            </c:strRef>
          </c:cat>
          <c:val>
            <c:numRef>
              <c:f>Sheet1!$B$2:$E$2</c:f>
              <c:numCache>
                <c:formatCode>General</c:formatCode>
                <c:ptCount val="4"/>
                <c:pt idx="0">
                  <c:v>141.43</c:v>
                </c:pt>
                <c:pt idx="1">
                  <c:v>8.76</c:v>
                </c:pt>
                <c:pt idx="2">
                  <c:v>10.47</c:v>
                </c:pt>
                <c:pt idx="3">
                  <c:v>47.730000000000011</c:v>
                </c:pt>
              </c:numCache>
            </c:numRef>
          </c:val>
        </c:ser>
        <c:dLbls>
          <c:showPercent val="1"/>
        </c:dLbls>
        <c:firstSliceAng val="0"/>
      </c:pieChart>
      <c:spPr>
        <a:solidFill>
          <a:srgbClr val="C0C0C0"/>
        </a:solidFill>
        <a:ln w="12590">
          <a:solidFill>
            <a:srgbClr val="808080"/>
          </a:solidFill>
          <a:prstDash val="solid"/>
        </a:ln>
      </c:spPr>
    </c:plotArea>
    <c:legend>
      <c:legendPos val="r"/>
      <c:layout>
        <c:manualLayout>
          <c:xMode val="edge"/>
          <c:yMode val="edge"/>
          <c:x val="0.65410199556542048"/>
          <c:y val="4.2593922282125933E-2"/>
          <c:w val="0.33702882483371105"/>
          <c:h val="0.93140397635766858"/>
        </c:manualLayout>
      </c:layout>
      <c:spPr>
        <a:noFill/>
        <a:ln w="3148">
          <a:solidFill>
            <a:srgbClr val="000000"/>
          </a:solidFill>
          <a:prstDash val="solid"/>
        </a:ln>
      </c:spPr>
      <c:txPr>
        <a:bodyPr rot="0" spcFirstLastPara="0" vertOverflow="ellipsis" vert="horz" wrap="square" anchor="ctr" anchorCtr="1"/>
        <a:lstStyle/>
        <a:p>
          <a:pPr>
            <a:defRPr lang="zh-CN" sz="109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19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
          <c:y val="0.22831050228310487"/>
          <c:w val="0.31496062992126811"/>
          <c:h val="0.54794520547946124"/>
        </c:manualLayout>
      </c:layout>
      <c:pieChart>
        <c:varyColors val="1"/>
        <c:ser>
          <c:idx val="0"/>
          <c:order val="0"/>
          <c:tx>
            <c:strRef>
              <c:f>Sheet1!$A$2</c:f>
              <c:strCache>
                <c:ptCount val="1"/>
                <c:pt idx="0">
                  <c:v>2021年</c:v>
                </c:pt>
              </c:strCache>
            </c:strRef>
          </c:tx>
          <c:spPr>
            <a:solidFill>
              <a:srgbClr val="9999FF"/>
            </a:solidFill>
            <a:ln w="12629">
              <a:solidFill>
                <a:srgbClr val="000000"/>
              </a:solidFill>
              <a:prstDash val="solid"/>
            </a:ln>
          </c:spPr>
          <c:dPt>
            <c:idx val="1"/>
            <c:spPr>
              <a:solidFill>
                <a:srgbClr val="993366"/>
              </a:solidFill>
              <a:ln w="12629">
                <a:solidFill>
                  <a:srgbClr val="000000"/>
                </a:solidFill>
                <a:prstDash val="solid"/>
              </a:ln>
            </c:spPr>
          </c:dPt>
          <c:dPt>
            <c:idx val="2"/>
            <c:spPr>
              <a:solidFill>
                <a:srgbClr val="FFFFCC"/>
              </a:solidFill>
              <a:ln w="12629">
                <a:solidFill>
                  <a:srgbClr val="000000"/>
                </a:solidFill>
                <a:prstDash val="solid"/>
              </a:ln>
            </c:spPr>
          </c:dPt>
          <c:dLbls>
            <c:dLbl>
              <c:idx val="0"/>
              <c:layout>
                <c:manualLayout>
                  <c:x val="8.0702306009539843E-2"/>
                  <c:y val="-2.2514242065951564E-2"/>
                </c:manualLayout>
              </c:layout>
              <c:dLblPos val="bestFit"/>
              <c:showVal val="1"/>
              <c:showPercent val="1"/>
              <c:extLst>
                <c:ext xmlns:c15="http://schemas.microsoft.com/office/drawing/2012/chart" uri="{CE6537A1-D6FC-4f65-9D91-7224C49458BB}">
                  <c15:layout/>
                </c:ext>
              </c:extLst>
            </c:dLbl>
            <c:dLbl>
              <c:idx val="2"/>
              <c:layout>
                <c:manualLayout>
                  <c:x val="-7.5090280240034571E-2"/>
                  <c:y val="-4.2301966102625432E-2"/>
                </c:manualLayout>
              </c:layout>
              <c:dLblPos val="bestFit"/>
              <c:showVal val="1"/>
              <c:showPercent val="1"/>
              <c:extLst>
                <c:ext xmlns:c15="http://schemas.microsoft.com/office/drawing/2012/chart" uri="{CE6537A1-D6FC-4f65-9D91-7224C49458BB}">
                  <c15:layout/>
                </c:ext>
              </c:extLst>
            </c:dLbl>
            <c:numFmt formatCode="0.00%" sourceLinked="0"/>
            <c:spPr>
              <a:noFill/>
              <a:ln w="25259">
                <a:noFill/>
              </a:ln>
              <a:effectLst/>
            </c:spPr>
            <c:txPr>
              <a:bodyPr rot="0" spcFirstLastPara="0" vertOverflow="ellipsis" vert="horz" wrap="square" lIns="38100" tIns="19050" rIns="38100" bIns="19050" anchor="ctr" anchorCtr="1"/>
              <a:lstStyle/>
              <a:p>
                <a:pPr>
                  <a:defRPr lang="zh-CN" sz="107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Val val="1"/>
            <c:showPercent val="1"/>
            <c:showLeaderLines val="1"/>
            <c:extLst>
              <c:ext xmlns:c15="http://schemas.microsoft.com/office/drawing/2012/chart" uri="{CE6537A1-D6FC-4f65-9D91-7224C49458BB}">
                <c15:layout/>
                <c15:showLeaderLines val="1"/>
                <c15:leaderLines/>
              </c:ext>
            </c:extLst>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0</c:v>
                </c:pt>
                <c:pt idx="1">
                  <c:v>0</c:v>
                </c:pt>
                <c:pt idx="2">
                  <c:v>0</c:v>
                </c:pt>
              </c:numCache>
            </c:numRef>
          </c:val>
        </c:ser>
        <c:dLbls>
          <c:showVal val="1"/>
        </c:dLbls>
        <c:firstSliceAng val="0"/>
      </c:pieChart>
      <c:spPr>
        <a:solidFill>
          <a:srgbClr val="C0C0C0"/>
        </a:solidFill>
        <a:ln w="12629">
          <a:solidFill>
            <a:srgbClr val="808080"/>
          </a:solidFill>
          <a:prstDash val="solid"/>
        </a:ln>
      </c:spPr>
    </c:plotArea>
    <c:legend>
      <c:legendPos val="r"/>
      <c:layout>
        <c:manualLayout>
          <c:xMode val="edge"/>
          <c:yMode val="edge"/>
          <c:x val="0.67454068241471421"/>
          <c:y val="0.255707762557078"/>
          <c:w val="0.31680543755310131"/>
          <c:h val="0.44270584387814099"/>
        </c:manualLayout>
      </c:layout>
      <c:spPr>
        <a:noFill/>
        <a:ln w="3157">
          <a:solidFill>
            <a:srgbClr val="000000"/>
          </a:solidFill>
          <a:prstDash val="solid"/>
        </a:ln>
      </c:spPr>
      <c:txPr>
        <a:bodyPr rot="0" spcFirstLastPara="0" vertOverflow="ellipsis" vert="horz" wrap="square" anchor="ctr" anchorCtr="1"/>
        <a:lstStyle/>
        <a:p>
          <a:pPr>
            <a:defRPr lang="zh-CN" sz="9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noFill/>
    <a:ln w="9525" cap="flat" cmpd="sng" algn="ctr">
      <a:noFill/>
      <a:prstDash val="solid"/>
      <a:round/>
    </a:ln>
  </c:spPr>
  <c:txPr>
    <a:bodyPr/>
    <a:lstStyle/>
    <a:p>
      <a:pPr>
        <a:defRPr lang="zh-CN" sz="107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B8797-6A9D-4FE2-A46E-7A9748AE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4247</Words>
  <Characters>617</Characters>
  <Application>Microsoft Office Word</Application>
  <DocSecurity>0</DocSecurity>
  <Lines>5</Lines>
  <Paragraphs>9</Paragraphs>
  <ScaleCrop>false</ScaleCrop>
  <Company>四川省财政厅</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12</cp:revision>
  <cp:lastPrinted>2020-01-01T12:14:00Z</cp:lastPrinted>
  <dcterms:created xsi:type="dcterms:W3CDTF">2023-09-21T00:43:00Z</dcterms:created>
  <dcterms:modified xsi:type="dcterms:W3CDTF">2023-09-21T07:33:00Z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