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73" w:rsidRDefault="00862873">
      <w:pPr>
        <w:spacing w:line="600" w:lineRule="exact"/>
        <w:jc w:val="left"/>
        <w:outlineLvl w:val="0"/>
        <w:rPr>
          <w:rFonts w:ascii="方正小标宋简体" w:eastAsia="方正小标宋简体" w:hAnsi="宋体"/>
          <w:color w:val="000000"/>
          <w:sz w:val="30"/>
          <w:szCs w:val="30"/>
        </w:rPr>
      </w:pPr>
      <w:bookmarkStart w:id="0" w:name="_Toc15306267"/>
    </w:p>
    <w:p w:rsidR="00862873" w:rsidRDefault="00862873">
      <w:pPr>
        <w:spacing w:line="600" w:lineRule="exact"/>
        <w:jc w:val="center"/>
        <w:outlineLvl w:val="0"/>
        <w:rPr>
          <w:rFonts w:ascii="方正小标宋简体" w:eastAsia="方正小标宋简体" w:hAnsi="宋体"/>
          <w:color w:val="000000"/>
          <w:sz w:val="72"/>
          <w:szCs w:val="72"/>
        </w:rPr>
      </w:pPr>
    </w:p>
    <w:p w:rsidR="00862873" w:rsidRDefault="00862873">
      <w:pPr>
        <w:spacing w:line="600" w:lineRule="exact"/>
        <w:jc w:val="center"/>
        <w:outlineLvl w:val="0"/>
        <w:rPr>
          <w:rFonts w:ascii="方正小标宋简体" w:eastAsia="方正小标宋简体" w:hAnsi="宋体"/>
          <w:color w:val="000000"/>
          <w:sz w:val="72"/>
          <w:szCs w:val="72"/>
        </w:rPr>
      </w:pPr>
    </w:p>
    <w:p w:rsidR="00862873" w:rsidRDefault="00862873">
      <w:pPr>
        <w:spacing w:line="600" w:lineRule="exact"/>
        <w:jc w:val="center"/>
        <w:outlineLvl w:val="0"/>
        <w:rPr>
          <w:rFonts w:ascii="方正小标宋简体" w:eastAsia="方正小标宋简体" w:hAnsi="宋体"/>
          <w:color w:val="000000"/>
          <w:sz w:val="72"/>
          <w:szCs w:val="72"/>
        </w:rPr>
      </w:pPr>
    </w:p>
    <w:p w:rsidR="00862873" w:rsidRDefault="0057224F">
      <w:pPr>
        <w:adjustRightInd w:val="0"/>
        <w:snapToGrid w:val="0"/>
        <w:spacing w:line="360" w:lineRule="auto"/>
        <w:jc w:val="center"/>
        <w:outlineLvl w:val="0"/>
        <w:rPr>
          <w:rFonts w:ascii="方正小标宋简体" w:eastAsia="方正小标宋简体" w:hAnsi="宋体"/>
          <w:sz w:val="72"/>
          <w:szCs w:val="72"/>
        </w:rPr>
      </w:pPr>
      <w:bookmarkStart w:id="1" w:name="_Toc15378441"/>
      <w:bookmarkStart w:id="2" w:name="_Toc15377193"/>
      <w:bookmarkStart w:id="3" w:name="_Toc15377425"/>
      <w:bookmarkStart w:id="4" w:name="_Toc15396475"/>
      <w:bookmarkStart w:id="5" w:name="_Toc15396597"/>
      <w:r>
        <w:rPr>
          <w:rFonts w:ascii="黑体" w:eastAsia="黑体" w:hAnsi="黑体"/>
          <w:sz w:val="72"/>
          <w:szCs w:val="72"/>
        </w:rPr>
        <w:t>20</w:t>
      </w:r>
      <w:r>
        <w:rPr>
          <w:rFonts w:ascii="黑体" w:eastAsia="黑体" w:hAnsi="黑体" w:hint="eastAsia"/>
          <w:sz w:val="72"/>
          <w:szCs w:val="72"/>
        </w:rPr>
        <w:t>21</w:t>
      </w:r>
      <w:r>
        <w:rPr>
          <w:rFonts w:ascii="方正小标宋简体" w:eastAsia="方正小标宋简体" w:hAnsi="宋体" w:hint="eastAsia"/>
          <w:sz w:val="72"/>
          <w:szCs w:val="72"/>
        </w:rPr>
        <w:t>年度</w:t>
      </w:r>
      <w:bookmarkEnd w:id="1"/>
      <w:bookmarkEnd w:id="2"/>
      <w:bookmarkEnd w:id="3"/>
      <w:bookmarkEnd w:id="4"/>
      <w:bookmarkEnd w:id="5"/>
    </w:p>
    <w:p w:rsidR="00862873" w:rsidRDefault="0057224F">
      <w:pPr>
        <w:adjustRightInd w:val="0"/>
        <w:snapToGrid w:val="0"/>
        <w:spacing w:line="360" w:lineRule="auto"/>
        <w:jc w:val="center"/>
        <w:outlineLvl w:val="0"/>
        <w:rPr>
          <w:rFonts w:ascii="方正小标宋简体" w:eastAsia="方正小标宋简体" w:hAnsi="宋体"/>
          <w:sz w:val="72"/>
          <w:szCs w:val="72"/>
        </w:rPr>
      </w:pPr>
      <w:bookmarkStart w:id="6" w:name="_Toc15377426"/>
      <w:bookmarkStart w:id="7" w:name="_Toc15396598"/>
      <w:bookmarkStart w:id="8" w:name="_Toc15378442"/>
      <w:bookmarkStart w:id="9" w:name="_Toc15377194"/>
      <w:bookmarkStart w:id="10" w:name="_Toc15396476"/>
      <w:r>
        <w:rPr>
          <w:rFonts w:ascii="方正小标宋简体" w:eastAsia="方正小标宋简体" w:hAnsi="宋体" w:hint="eastAsia"/>
          <w:sz w:val="72"/>
          <w:szCs w:val="72"/>
        </w:rPr>
        <w:t>四川</w:t>
      </w:r>
      <w:bookmarkStart w:id="11" w:name="_Toc15306268"/>
      <w:bookmarkEnd w:id="0"/>
      <w:r>
        <w:rPr>
          <w:rFonts w:ascii="方正小标宋简体" w:eastAsia="方正小标宋简体" w:hAnsi="宋体" w:hint="eastAsia"/>
          <w:sz w:val="72"/>
          <w:szCs w:val="72"/>
        </w:rPr>
        <w:t>正道文化传播中心</w:t>
      </w:r>
    </w:p>
    <w:p w:rsidR="00862873" w:rsidRDefault="0057224F">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单位决算</w:t>
      </w:r>
      <w:bookmarkEnd w:id="6"/>
      <w:bookmarkEnd w:id="7"/>
      <w:bookmarkEnd w:id="8"/>
      <w:bookmarkEnd w:id="9"/>
      <w:bookmarkEnd w:id="10"/>
      <w:bookmarkEnd w:id="11"/>
    </w:p>
    <w:p w:rsidR="00862873" w:rsidRDefault="0057224F">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862873" w:rsidRDefault="00862873">
      <w:pPr>
        <w:widowControl/>
        <w:jc w:val="center"/>
        <w:rPr>
          <w:rFonts w:ascii="黑体" w:eastAsia="黑体" w:hAnsi="黑体" w:cstheme="minorBidi"/>
          <w:sz w:val="28"/>
          <w:szCs w:val="28"/>
        </w:rPr>
      </w:pPr>
    </w:p>
    <w:p w:rsidR="00862873" w:rsidRDefault="0057224F">
      <w:pPr>
        <w:pStyle w:val="10"/>
      </w:pPr>
      <w:r>
        <w:rPr>
          <w:rFonts w:hint="eastAsia"/>
        </w:rPr>
        <w:t>公开时间：2022年9月9日</w:t>
      </w:r>
    </w:p>
    <w:p w:rsidR="00862873" w:rsidRDefault="00862873"/>
    <w:p w:rsidR="00862873" w:rsidRDefault="0057224F">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hint="eastAsia"/>
          <w:sz w:val="24"/>
        </w:rPr>
        <w:tab/>
        <w:t>4</w:t>
      </w:r>
    </w:p>
    <w:p w:rsidR="00862873" w:rsidRDefault="0057224F">
      <w:pPr>
        <w:pStyle w:val="20"/>
        <w:adjustRightInd w:val="0"/>
        <w:snapToGrid w:val="0"/>
        <w:spacing w:line="440" w:lineRule="exact"/>
        <w:jc w:val="left"/>
        <w:rPr>
          <w:sz w:val="24"/>
        </w:rPr>
      </w:pPr>
      <w:r>
        <w:rPr>
          <w:rFonts w:hint="eastAsia"/>
          <w:sz w:val="24"/>
        </w:rPr>
        <w:t>一、职能简介</w:t>
      </w:r>
      <w:r>
        <w:rPr>
          <w:rFonts w:hint="eastAsia"/>
          <w:sz w:val="24"/>
        </w:rPr>
        <w:tab/>
        <w:t>4</w:t>
      </w:r>
    </w:p>
    <w:p w:rsidR="00862873" w:rsidRDefault="0057224F">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Pr>
          <w:rFonts w:hint="eastAsia"/>
          <w:sz w:val="24"/>
        </w:rPr>
        <w:tab/>
        <w:t>4</w:t>
      </w:r>
    </w:p>
    <w:p w:rsidR="00E74CDA" w:rsidRDefault="00E74CDA" w:rsidP="00E74CDA">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三、机构设置情况</w:t>
      </w:r>
      <w:r>
        <w:rPr>
          <w:rFonts w:hint="eastAsia"/>
          <w:sz w:val="24"/>
        </w:rPr>
        <w:tab/>
        <w:t>9</w:t>
      </w:r>
    </w:p>
    <w:p w:rsidR="00862873" w:rsidRPr="00540C1D" w:rsidRDefault="0057224F">
      <w:pPr>
        <w:pStyle w:val="10"/>
        <w:adjustRightInd w:val="0"/>
        <w:snapToGrid w:val="0"/>
        <w:spacing w:before="0" w:line="440" w:lineRule="exact"/>
        <w:jc w:val="left"/>
        <w:rPr>
          <w:rFonts w:ascii="Times New Roman" w:eastAsia="宋体" w:hAnsi="Times New Roman"/>
          <w:sz w:val="24"/>
          <w:szCs w:val="24"/>
        </w:rPr>
      </w:pPr>
      <w:r>
        <w:rPr>
          <w:rFonts w:hint="eastAsia"/>
          <w:sz w:val="24"/>
        </w:rPr>
        <w:t>第二部分 2021年度单位决算情况说明</w:t>
      </w:r>
      <w:r>
        <w:rPr>
          <w:rFonts w:hint="eastAsia"/>
          <w:sz w:val="24"/>
        </w:rPr>
        <w:tab/>
      </w:r>
      <w:r w:rsidR="008848A5" w:rsidRPr="00540C1D">
        <w:rPr>
          <w:rFonts w:ascii="Times New Roman" w:eastAsia="宋体" w:hAnsi="Times New Roman" w:hint="eastAsia"/>
          <w:sz w:val="24"/>
          <w:szCs w:val="24"/>
        </w:rPr>
        <w:t>10</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ab/>
      </w:r>
      <w:r w:rsidR="008848A5">
        <w:rPr>
          <w:rFonts w:hint="eastAsia"/>
          <w:sz w:val="24"/>
        </w:rPr>
        <w:t>10</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ab/>
      </w:r>
      <w:r w:rsidR="008848A5">
        <w:rPr>
          <w:rFonts w:hint="eastAsia"/>
          <w:sz w:val="24"/>
        </w:rPr>
        <w:t>10</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ab/>
      </w:r>
      <w:r w:rsidR="008848A5">
        <w:rPr>
          <w:rFonts w:hint="eastAsia"/>
          <w:sz w:val="24"/>
        </w:rPr>
        <w:t>11</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ab/>
      </w:r>
      <w:r w:rsidR="008848A5">
        <w:rPr>
          <w:rFonts w:hint="eastAsia"/>
          <w:sz w:val="24"/>
        </w:rPr>
        <w:t>11</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ab/>
      </w:r>
      <w:r w:rsidR="008848A5">
        <w:rPr>
          <w:rFonts w:hint="eastAsia"/>
          <w:sz w:val="24"/>
        </w:rPr>
        <w:t>12</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ab/>
        <w:t>1</w:t>
      </w:r>
      <w:r w:rsidR="008848A5">
        <w:rPr>
          <w:rFonts w:hint="eastAsia"/>
          <w:sz w:val="24"/>
        </w:rPr>
        <w:t>5</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Pr>
          <w:rFonts w:hint="eastAsia"/>
          <w:sz w:val="24"/>
        </w:rPr>
        <w:tab/>
        <w:t>1</w:t>
      </w:r>
      <w:r w:rsidR="008848A5">
        <w:rPr>
          <w:rFonts w:hint="eastAsia"/>
          <w:sz w:val="24"/>
        </w:rPr>
        <w:t>5</w:t>
      </w:r>
    </w:p>
    <w:p w:rsidR="00862873" w:rsidRDefault="0057224F">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ab/>
        <w:t>1</w:t>
      </w:r>
      <w:r w:rsidR="008848A5">
        <w:rPr>
          <w:rFonts w:hint="eastAsia"/>
          <w:sz w:val="24"/>
        </w:rPr>
        <w:t>7</w:t>
      </w:r>
    </w:p>
    <w:p w:rsidR="00862873" w:rsidRDefault="0057224F">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ab/>
        <w:t>1</w:t>
      </w:r>
      <w:r w:rsidR="008848A5">
        <w:rPr>
          <w:rFonts w:hint="eastAsia"/>
          <w:sz w:val="24"/>
        </w:rPr>
        <w:t>7</w:t>
      </w:r>
    </w:p>
    <w:p w:rsidR="00862873" w:rsidRDefault="0057224F">
      <w:pPr>
        <w:pStyle w:val="20"/>
        <w:adjustRightInd w:val="0"/>
        <w:snapToGrid w:val="0"/>
        <w:spacing w:line="440" w:lineRule="exact"/>
        <w:jc w:val="left"/>
        <w:rPr>
          <w:sz w:val="24"/>
        </w:rPr>
      </w:pPr>
      <w:r>
        <w:rPr>
          <w:rFonts w:hint="eastAsia"/>
          <w:sz w:val="24"/>
        </w:rPr>
        <w:t>十、其他重要事项的情况说明</w:t>
      </w:r>
      <w:r>
        <w:rPr>
          <w:rFonts w:hint="eastAsia"/>
          <w:sz w:val="24"/>
        </w:rPr>
        <w:tab/>
        <w:t>1</w:t>
      </w:r>
      <w:r w:rsidR="008848A5">
        <w:rPr>
          <w:rFonts w:hint="eastAsia"/>
          <w:sz w:val="24"/>
        </w:rPr>
        <w:t>7</w:t>
      </w:r>
    </w:p>
    <w:p w:rsidR="00862873" w:rsidRDefault="0057224F">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sz w:val="24"/>
        </w:rPr>
        <w:tab/>
      </w:r>
      <w:r w:rsidRPr="00540C1D">
        <w:rPr>
          <w:rFonts w:ascii="Times New Roman" w:eastAsia="宋体" w:hAnsi="Times New Roman" w:hint="eastAsia"/>
          <w:sz w:val="24"/>
          <w:szCs w:val="24"/>
        </w:rPr>
        <w:t>19</w:t>
      </w:r>
    </w:p>
    <w:p w:rsidR="00862873" w:rsidRDefault="0057224F">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sz w:val="24"/>
        </w:rPr>
        <w:tab/>
      </w:r>
      <w:r w:rsidRPr="00540C1D">
        <w:rPr>
          <w:rFonts w:ascii="Times New Roman" w:eastAsia="宋体" w:hAnsi="Times New Roman" w:hint="eastAsia"/>
          <w:sz w:val="24"/>
          <w:szCs w:val="24"/>
        </w:rPr>
        <w:t>21</w:t>
      </w:r>
    </w:p>
    <w:p w:rsidR="00862873" w:rsidRDefault="0057224F">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sz w:val="24"/>
        </w:rPr>
        <w:tab/>
      </w:r>
      <w:r w:rsidR="008848A5" w:rsidRPr="00540C1D">
        <w:rPr>
          <w:rFonts w:ascii="Times New Roman" w:eastAsia="宋体" w:hAnsi="Times New Roman" w:hint="eastAsia"/>
          <w:sz w:val="24"/>
          <w:szCs w:val="24"/>
        </w:rPr>
        <w:t>2</w:t>
      </w:r>
      <w:r w:rsidRPr="00540C1D">
        <w:rPr>
          <w:rFonts w:ascii="Times New Roman" w:eastAsia="宋体" w:hAnsi="Times New Roman" w:hint="eastAsia"/>
          <w:sz w:val="24"/>
          <w:szCs w:val="24"/>
        </w:rPr>
        <w:t>2</w:t>
      </w:r>
    </w:p>
    <w:p w:rsidR="00862873" w:rsidRDefault="0057224F">
      <w:pPr>
        <w:pStyle w:val="20"/>
        <w:adjustRightInd w:val="0"/>
        <w:snapToGrid w:val="0"/>
        <w:spacing w:line="440" w:lineRule="exact"/>
        <w:jc w:val="left"/>
        <w:rPr>
          <w:sz w:val="24"/>
        </w:rPr>
      </w:pPr>
      <w:r>
        <w:rPr>
          <w:rFonts w:hint="eastAsia"/>
          <w:sz w:val="24"/>
        </w:rPr>
        <w:t>一、收入支出决算总表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二、收入决算表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三、支出决算表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四、财政拨款收入支出决算总表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五、财政拨款支出决算明细表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八、一般公共预算财政拨款基本支出决算表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lastRenderedPageBreak/>
        <w:t>九、一般公共预算财政拨款项目支出决算表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十、一般公共预算财政拨款“三公”经费支出决算表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十一、政府性基金预算财政拨款收入支出决算表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r>
      <w:r w:rsidR="008848A5">
        <w:rPr>
          <w:rFonts w:hint="eastAsia"/>
          <w:sz w:val="24"/>
        </w:rPr>
        <w:t>2</w:t>
      </w:r>
      <w:r>
        <w:rPr>
          <w:rFonts w:hint="eastAsia"/>
          <w:sz w:val="24"/>
        </w:rPr>
        <w:t>2</w:t>
      </w:r>
    </w:p>
    <w:p w:rsidR="00862873" w:rsidRDefault="0057224F">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ab/>
      </w:r>
      <w:r w:rsidR="008848A5">
        <w:rPr>
          <w:rFonts w:hint="eastAsia"/>
          <w:sz w:val="24"/>
        </w:rPr>
        <w:t>2</w:t>
      </w:r>
      <w:r>
        <w:rPr>
          <w:rFonts w:hint="eastAsia"/>
          <w:sz w:val="24"/>
        </w:rPr>
        <w:t>2</w:t>
      </w:r>
    </w:p>
    <w:p w:rsidR="00862873" w:rsidRDefault="0057224F">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862873" w:rsidRDefault="0057224F">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2"/>
      <w:bookmarkEnd w:id="13"/>
    </w:p>
    <w:p w:rsidR="00862873" w:rsidRDefault="00862873">
      <w:pPr>
        <w:widowControl/>
        <w:jc w:val="left"/>
        <w:rPr>
          <w:rFonts w:ascii="黑体" w:eastAsia="黑体"/>
          <w:sz w:val="32"/>
          <w:szCs w:val="32"/>
        </w:rPr>
      </w:pPr>
    </w:p>
    <w:p w:rsidR="00862873" w:rsidRDefault="0057224F">
      <w:pPr>
        <w:pStyle w:val="2"/>
        <w:numPr>
          <w:ilvl w:val="0"/>
          <w:numId w:val="1"/>
        </w:numPr>
        <w:rPr>
          <w:rStyle w:val="2Char"/>
          <w:rFonts w:ascii="黑体" w:eastAsia="黑体" w:hAnsi="黑体"/>
        </w:rPr>
      </w:pPr>
      <w:bookmarkStart w:id="14" w:name="_Toc15377197"/>
      <w:bookmarkStart w:id="15" w:name="_Toc15396600"/>
      <w:r>
        <w:rPr>
          <w:rStyle w:val="2Char"/>
          <w:rFonts w:ascii="黑体" w:eastAsia="黑体" w:hAnsi="黑体" w:hint="eastAsia"/>
        </w:rPr>
        <w:t>职能简介</w:t>
      </w:r>
    </w:p>
    <w:p w:rsidR="00862873" w:rsidRPr="0028093C" w:rsidRDefault="0057224F" w:rsidP="0028093C">
      <w:pPr>
        <w:ind w:firstLineChars="200" w:firstLine="664"/>
        <w:rPr>
          <w:rFonts w:ascii="仿宋_GB2312" w:eastAsia="仿宋_GB2312" w:hAnsi="仿宋_GB2312" w:cs="仿宋_GB2312"/>
          <w:spacing w:val="6"/>
          <w:sz w:val="32"/>
          <w:szCs w:val="32"/>
        </w:rPr>
      </w:pPr>
      <w:r w:rsidRPr="0028093C">
        <w:rPr>
          <w:rFonts w:ascii="仿宋_GB2312" w:eastAsia="仿宋_GB2312" w:hAnsi="仿宋_GB2312" w:cs="仿宋_GB2312" w:hint="eastAsia"/>
          <w:spacing w:val="6"/>
          <w:sz w:val="32"/>
          <w:szCs w:val="32"/>
        </w:rPr>
        <w:t>四川正道文化传播中心的职能是承担反邪教文化研究、宣传等工作。</w:t>
      </w:r>
    </w:p>
    <w:p w:rsidR="00862873" w:rsidRDefault="0057224F">
      <w:pPr>
        <w:pStyle w:val="2"/>
        <w:numPr>
          <w:ilvl w:val="0"/>
          <w:numId w:val="1"/>
        </w:numPr>
        <w:rPr>
          <w:spacing w:val="6"/>
        </w:rPr>
      </w:pPr>
      <w:r>
        <w:rPr>
          <w:rFonts w:ascii="黑体" w:eastAsia="黑体" w:hAnsi="黑体" w:hint="eastAsia"/>
          <w:b w:val="0"/>
        </w:rPr>
        <w:t>2021年重点工作</w:t>
      </w:r>
      <w:bookmarkEnd w:id="14"/>
      <w:bookmarkEnd w:id="15"/>
      <w:r>
        <w:rPr>
          <w:rFonts w:ascii="黑体" w:eastAsia="黑体" w:hAnsi="黑体" w:hint="eastAsia"/>
          <w:b w:val="0"/>
        </w:rPr>
        <w:t>完成情况</w:t>
      </w:r>
    </w:p>
    <w:p w:rsidR="00862873" w:rsidRDefault="0057224F">
      <w:pPr>
        <w:spacing w:line="600" w:lineRule="exact"/>
        <w:ind w:firstLineChars="200" w:firstLine="664"/>
        <w:rPr>
          <w:rFonts w:ascii="黑体" w:eastAsia="黑体" w:hAnsi="黑体" w:cs="黑体"/>
          <w:spacing w:val="6"/>
          <w:sz w:val="32"/>
          <w:szCs w:val="32"/>
        </w:rPr>
      </w:pPr>
      <w:r>
        <w:rPr>
          <w:rFonts w:ascii="仿宋_GB2312" w:eastAsia="仿宋_GB2312" w:hAnsi="仿宋_GB2312" w:cs="仿宋_GB2312" w:hint="eastAsia"/>
          <w:spacing w:val="6"/>
          <w:sz w:val="32"/>
          <w:szCs w:val="32"/>
        </w:rPr>
        <w:t>2021年以来，四川正道文化传播中心在省委政法委的坚强领导下，深入贯彻落</w:t>
      </w:r>
      <w:proofErr w:type="gramStart"/>
      <w:r>
        <w:rPr>
          <w:rFonts w:ascii="仿宋_GB2312" w:eastAsia="仿宋_GB2312" w:hAnsi="仿宋_GB2312" w:cs="仿宋_GB2312" w:hint="eastAsia"/>
          <w:spacing w:val="6"/>
          <w:sz w:val="32"/>
          <w:szCs w:val="32"/>
        </w:rPr>
        <w:t>实习近</w:t>
      </w:r>
      <w:proofErr w:type="gramEnd"/>
      <w:r>
        <w:rPr>
          <w:rFonts w:ascii="仿宋_GB2312" w:eastAsia="仿宋_GB2312" w:hAnsi="仿宋_GB2312" w:cs="仿宋_GB2312" w:hint="eastAsia"/>
          <w:spacing w:val="6"/>
          <w:sz w:val="32"/>
          <w:szCs w:val="32"/>
        </w:rPr>
        <w:t>平总书记“七一”重要讲话精神及党的十九届六中全会精神，以全省政法工作会议为引领，以党史学习教育为契机，以政法队伍教育整顿为抓手，不断提升团队凝聚力及新媒体平台竞争力、影响力，各项工作成效显著。</w:t>
      </w:r>
    </w:p>
    <w:p w:rsidR="00862873" w:rsidRDefault="00284150" w:rsidP="00284150">
      <w:pPr>
        <w:tabs>
          <w:tab w:val="left" w:pos="643"/>
        </w:tabs>
        <w:spacing w:line="580" w:lineRule="exact"/>
        <w:ind w:firstLineChars="200" w:firstLine="664"/>
        <w:rPr>
          <w:rFonts w:ascii="黑体" w:eastAsia="黑体" w:hAnsi="黑体" w:cs="黑体"/>
          <w:spacing w:val="6"/>
          <w:sz w:val="32"/>
          <w:szCs w:val="32"/>
        </w:rPr>
      </w:pPr>
      <w:r>
        <w:rPr>
          <w:rFonts w:ascii="黑体" w:eastAsia="黑体" w:hAnsi="黑体" w:cs="黑体" w:hint="eastAsia"/>
          <w:spacing w:val="6"/>
          <w:sz w:val="32"/>
          <w:szCs w:val="32"/>
        </w:rPr>
        <w:t>（一）</w:t>
      </w:r>
      <w:r w:rsidR="0057224F">
        <w:rPr>
          <w:rFonts w:ascii="黑体" w:eastAsia="黑体" w:hAnsi="黑体" w:cs="黑体" w:hint="eastAsia"/>
          <w:spacing w:val="6"/>
          <w:sz w:val="32"/>
          <w:szCs w:val="32"/>
        </w:rPr>
        <w:t>主攻平台建设“关键点”，持续保持全国政法新媒体“第一方阵”。</w:t>
      </w:r>
    </w:p>
    <w:p w:rsidR="00862873" w:rsidRDefault="0057224F">
      <w:pPr>
        <w:tabs>
          <w:tab w:val="left" w:pos="643"/>
        </w:tabs>
        <w:spacing w:line="580" w:lineRule="exact"/>
        <w:ind w:firstLineChars="200" w:firstLine="664"/>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结合建党100周年重大活动、十九届六中全会重要精神宣讲、疫情防控、线下反邪教宣传活动等全年重点工作，守好网络“主阵地”、打好防</w:t>
      </w:r>
      <w:proofErr w:type="gramStart"/>
      <w:r>
        <w:rPr>
          <w:rFonts w:ascii="仿宋_GB2312" w:eastAsia="仿宋_GB2312" w:hAnsi="仿宋_GB2312" w:cs="仿宋_GB2312" w:hint="eastAsia"/>
          <w:spacing w:val="6"/>
          <w:sz w:val="32"/>
          <w:szCs w:val="32"/>
        </w:rPr>
        <w:t>邪</w:t>
      </w:r>
      <w:proofErr w:type="gramEnd"/>
      <w:r>
        <w:rPr>
          <w:rFonts w:ascii="仿宋_GB2312" w:eastAsia="仿宋_GB2312" w:hAnsi="仿宋_GB2312" w:cs="仿宋_GB2312" w:hint="eastAsia"/>
          <w:spacing w:val="6"/>
          <w:sz w:val="32"/>
          <w:szCs w:val="32"/>
        </w:rPr>
        <w:t>“主动仗”、奏响和谐“主旋律”，保持全国政法系统第一方阵先进优势，新媒体平台持续向好发展，全年共计发布稿件近3万篇，较去年同期增长16%，阅读量近8亿次，较去年同期增长19%。</w:t>
      </w:r>
      <w:r>
        <w:rPr>
          <w:rFonts w:ascii="仿宋_GB2312" w:eastAsia="仿宋_GB2312" w:hAnsi="仿宋_GB2312" w:cs="仿宋_GB2312" w:hint="eastAsia"/>
          <w:b/>
          <w:bCs/>
          <w:spacing w:val="6"/>
          <w:sz w:val="32"/>
          <w:szCs w:val="32"/>
        </w:rPr>
        <w:t>一是“四</w:t>
      </w:r>
      <w:r>
        <w:rPr>
          <w:rFonts w:ascii="仿宋_GB2312" w:eastAsia="仿宋_GB2312" w:hAnsi="仿宋_GB2312" w:cs="仿宋_GB2312" w:hint="eastAsia"/>
          <w:b/>
          <w:bCs/>
          <w:spacing w:val="6"/>
          <w:sz w:val="32"/>
          <w:szCs w:val="32"/>
        </w:rPr>
        <w:lastRenderedPageBreak/>
        <w:t>川反邪教”</w:t>
      </w:r>
      <w:proofErr w:type="gramStart"/>
      <w:r>
        <w:rPr>
          <w:rFonts w:ascii="仿宋_GB2312" w:eastAsia="仿宋_GB2312" w:hAnsi="仿宋_GB2312" w:cs="仿宋_GB2312" w:hint="eastAsia"/>
          <w:b/>
          <w:bCs/>
          <w:spacing w:val="6"/>
          <w:sz w:val="32"/>
          <w:szCs w:val="32"/>
        </w:rPr>
        <w:t>微博号</w:t>
      </w:r>
      <w:proofErr w:type="gramEnd"/>
      <w:r>
        <w:rPr>
          <w:rFonts w:ascii="仿宋_GB2312" w:eastAsia="仿宋_GB2312" w:hAnsi="仿宋_GB2312" w:cs="仿宋_GB2312" w:hint="eastAsia"/>
          <w:b/>
          <w:bCs/>
          <w:spacing w:val="6"/>
          <w:sz w:val="32"/>
          <w:szCs w:val="32"/>
        </w:rPr>
        <w:t>在</w:t>
      </w:r>
      <w:r>
        <w:rPr>
          <w:rFonts w:ascii="仿宋_GB2312" w:eastAsia="仿宋_GB2312" w:hAnsi="仿宋_GB2312" w:cs="仿宋_GB2312" w:hint="eastAsia"/>
          <w:b/>
          <w:spacing w:val="6"/>
          <w:sz w:val="32"/>
          <w:szCs w:val="32"/>
        </w:rPr>
        <w:t>省内政法系统榜单中连续12个月排名保持第1名</w:t>
      </w:r>
      <w:r>
        <w:rPr>
          <w:rFonts w:ascii="仿宋_GB2312" w:eastAsia="仿宋_GB2312" w:hAnsi="仿宋_GB2312" w:cs="仿宋_GB2312" w:hint="eastAsia"/>
          <w:b/>
          <w:bCs/>
          <w:spacing w:val="6"/>
          <w:sz w:val="32"/>
          <w:szCs w:val="32"/>
        </w:rPr>
        <w:t>。</w:t>
      </w:r>
      <w:r>
        <w:rPr>
          <w:rFonts w:ascii="仿宋_GB2312" w:eastAsia="仿宋_GB2312" w:hAnsi="仿宋_GB2312" w:cs="仿宋_GB2312" w:hint="eastAsia"/>
          <w:spacing w:val="6"/>
          <w:sz w:val="32"/>
          <w:szCs w:val="32"/>
        </w:rPr>
        <w:t>今年，</w:t>
      </w:r>
      <w:proofErr w:type="gramStart"/>
      <w:r>
        <w:rPr>
          <w:rFonts w:ascii="仿宋_GB2312" w:eastAsia="仿宋_GB2312" w:hAnsi="仿宋_GB2312" w:cs="仿宋_GB2312" w:hint="eastAsia"/>
          <w:spacing w:val="6"/>
          <w:sz w:val="32"/>
          <w:szCs w:val="32"/>
        </w:rPr>
        <w:t>微博发布</w:t>
      </w:r>
      <w:proofErr w:type="gramEnd"/>
      <w:r>
        <w:rPr>
          <w:rFonts w:ascii="仿宋_GB2312" w:eastAsia="仿宋_GB2312" w:hAnsi="仿宋_GB2312" w:cs="仿宋_GB2312" w:hint="eastAsia"/>
          <w:spacing w:val="6"/>
          <w:sz w:val="32"/>
          <w:szCs w:val="32"/>
        </w:rPr>
        <w:t>稿件2万余条，总阅读量7亿人次；在</w:t>
      </w:r>
      <w:proofErr w:type="gramStart"/>
      <w:r>
        <w:rPr>
          <w:rFonts w:ascii="仿宋_GB2312" w:eastAsia="仿宋_GB2312" w:hAnsi="仿宋_GB2312" w:cs="仿宋_GB2312" w:hint="eastAsia"/>
          <w:spacing w:val="6"/>
          <w:sz w:val="32"/>
          <w:szCs w:val="32"/>
        </w:rPr>
        <w:t>人民网</w:t>
      </w:r>
      <w:proofErr w:type="gramEnd"/>
      <w:r>
        <w:rPr>
          <w:rFonts w:ascii="仿宋_GB2312" w:eastAsia="仿宋_GB2312" w:hAnsi="仿宋_GB2312" w:cs="仿宋_GB2312" w:hint="eastAsia"/>
          <w:spacing w:val="6"/>
          <w:sz w:val="32"/>
          <w:szCs w:val="32"/>
        </w:rPr>
        <w:t>舆情数据中心评选的</w:t>
      </w:r>
      <w:proofErr w:type="gramStart"/>
      <w:r>
        <w:rPr>
          <w:rFonts w:ascii="仿宋_GB2312" w:eastAsia="仿宋_GB2312" w:hAnsi="仿宋_GB2312" w:cs="仿宋_GB2312" w:hint="eastAsia"/>
          <w:spacing w:val="6"/>
          <w:sz w:val="32"/>
          <w:szCs w:val="32"/>
        </w:rPr>
        <w:t>政务微博榜单</w:t>
      </w:r>
      <w:proofErr w:type="gramEnd"/>
      <w:r>
        <w:rPr>
          <w:rFonts w:ascii="仿宋_GB2312" w:eastAsia="仿宋_GB2312" w:hAnsi="仿宋_GB2312" w:cs="仿宋_GB2312" w:hint="eastAsia"/>
          <w:spacing w:val="6"/>
          <w:sz w:val="32"/>
          <w:szCs w:val="32"/>
        </w:rPr>
        <w:t>中，</w:t>
      </w:r>
      <w:proofErr w:type="gramStart"/>
      <w:r>
        <w:rPr>
          <w:rFonts w:ascii="仿宋_GB2312" w:eastAsia="仿宋_GB2312" w:hAnsi="仿宋_GB2312" w:cs="仿宋_GB2312" w:hint="eastAsia"/>
          <w:spacing w:val="6"/>
          <w:sz w:val="32"/>
          <w:szCs w:val="32"/>
        </w:rPr>
        <w:t>“四川反邪教”微博获</w:t>
      </w:r>
      <w:proofErr w:type="gramEnd"/>
      <w:r>
        <w:rPr>
          <w:rFonts w:ascii="仿宋_GB2312" w:eastAsia="仿宋_GB2312" w:hAnsi="仿宋_GB2312" w:cs="仿宋_GB2312" w:hint="eastAsia"/>
          <w:spacing w:val="6"/>
          <w:sz w:val="32"/>
          <w:szCs w:val="32"/>
        </w:rPr>
        <w:t>评四川十大政法</w:t>
      </w:r>
      <w:proofErr w:type="gramStart"/>
      <w:r>
        <w:rPr>
          <w:rFonts w:ascii="仿宋_GB2312" w:eastAsia="仿宋_GB2312" w:hAnsi="仿宋_GB2312" w:cs="仿宋_GB2312" w:hint="eastAsia"/>
          <w:spacing w:val="6"/>
          <w:sz w:val="32"/>
          <w:szCs w:val="32"/>
        </w:rPr>
        <w:t>系统微博第4名</w:t>
      </w:r>
      <w:proofErr w:type="gramEnd"/>
      <w:r>
        <w:rPr>
          <w:rFonts w:ascii="仿宋_GB2312" w:eastAsia="仿宋_GB2312" w:hAnsi="仿宋_GB2312" w:cs="仿宋_GB2312" w:hint="eastAsia"/>
          <w:spacing w:val="6"/>
          <w:sz w:val="32"/>
          <w:szCs w:val="32"/>
        </w:rPr>
        <w:t>。</w:t>
      </w:r>
      <w:r>
        <w:rPr>
          <w:rFonts w:ascii="仿宋_GB2312" w:eastAsia="仿宋_GB2312" w:hAnsi="仿宋_GB2312" w:cs="仿宋_GB2312" w:hint="eastAsia"/>
          <w:b/>
          <w:bCs/>
          <w:spacing w:val="6"/>
          <w:sz w:val="32"/>
          <w:szCs w:val="32"/>
        </w:rPr>
        <w:t>二是“锦官驿站”</w:t>
      </w:r>
      <w:proofErr w:type="gramStart"/>
      <w:r>
        <w:rPr>
          <w:rFonts w:ascii="仿宋_GB2312" w:eastAsia="仿宋_GB2312" w:hAnsi="仿宋_GB2312" w:cs="仿宋_GB2312" w:hint="eastAsia"/>
          <w:b/>
          <w:bCs/>
          <w:spacing w:val="6"/>
          <w:sz w:val="32"/>
          <w:szCs w:val="32"/>
        </w:rPr>
        <w:t>微信公众</w:t>
      </w:r>
      <w:proofErr w:type="gramEnd"/>
      <w:r>
        <w:rPr>
          <w:rFonts w:ascii="仿宋_GB2312" w:eastAsia="仿宋_GB2312" w:hAnsi="仿宋_GB2312" w:cs="仿宋_GB2312" w:hint="eastAsia"/>
          <w:b/>
          <w:bCs/>
          <w:spacing w:val="6"/>
          <w:sz w:val="32"/>
          <w:szCs w:val="32"/>
        </w:rPr>
        <w:t>平台</w:t>
      </w:r>
      <w:r>
        <w:rPr>
          <w:rFonts w:ascii="仿宋_GB2312" w:eastAsia="仿宋_GB2312" w:hAnsi="仿宋_GB2312" w:cs="仿宋_GB2312" w:hint="eastAsia"/>
          <w:b/>
          <w:spacing w:val="6"/>
          <w:sz w:val="32"/>
          <w:szCs w:val="32"/>
        </w:rPr>
        <w:t>粉丝总量突破83万。</w:t>
      </w:r>
      <w:r>
        <w:rPr>
          <w:rFonts w:ascii="仿宋_GB2312" w:eastAsia="仿宋_GB2312" w:hAnsi="仿宋_GB2312" w:cs="仿宋_GB2312" w:hint="eastAsia"/>
          <w:spacing w:val="6"/>
          <w:sz w:val="32"/>
          <w:szCs w:val="32"/>
        </w:rPr>
        <w:t>今年开展了</w:t>
      </w:r>
      <w:r>
        <w:rPr>
          <w:rFonts w:ascii="仿宋_GB2312" w:eastAsia="仿宋_GB2312" w:hAnsi="仿宋_GB2312" w:cs="仿宋_GB2312" w:hint="eastAsia"/>
          <w:spacing w:val="6"/>
          <w:kern w:val="0"/>
          <w:sz w:val="32"/>
          <w:szCs w:val="32"/>
        </w:rPr>
        <w:t>“红色印记 百年步履”</w:t>
      </w:r>
      <w:r>
        <w:rPr>
          <w:rFonts w:ascii="仿宋_GB2312" w:eastAsia="仿宋_GB2312" w:hAnsi="仿宋_GB2312" w:cs="仿宋_GB2312" w:hint="eastAsia"/>
          <w:spacing w:val="6"/>
          <w:sz w:val="32"/>
          <w:szCs w:val="32"/>
        </w:rPr>
        <w:t>、“诚信企业家”网络投票评选、“12.4”宪法日有奖答题等多个</w:t>
      </w:r>
      <w:r>
        <w:rPr>
          <w:rFonts w:ascii="仿宋_GB2312" w:eastAsia="仿宋_GB2312" w:hAnsi="仿宋_GB2312" w:cs="仿宋_GB2312" w:hint="eastAsia"/>
          <w:spacing w:val="6"/>
          <w:kern w:val="0"/>
          <w:sz w:val="32"/>
          <w:szCs w:val="32"/>
        </w:rPr>
        <w:t>主题</w:t>
      </w:r>
      <w:r>
        <w:rPr>
          <w:rFonts w:ascii="仿宋_GB2312" w:eastAsia="仿宋_GB2312" w:hAnsi="仿宋_GB2312" w:cs="仿宋_GB2312" w:hint="eastAsia"/>
          <w:spacing w:val="6"/>
          <w:sz w:val="32"/>
          <w:szCs w:val="32"/>
        </w:rPr>
        <w:t>活动。</w:t>
      </w:r>
      <w:r>
        <w:rPr>
          <w:rFonts w:ascii="仿宋_GB2312" w:eastAsia="仿宋_GB2312" w:hAnsi="仿宋_GB2312" w:cs="仿宋_GB2312" w:hint="eastAsia"/>
          <w:b/>
          <w:spacing w:val="6"/>
          <w:sz w:val="32"/>
          <w:szCs w:val="32"/>
        </w:rPr>
        <w:t>三是</w:t>
      </w:r>
      <w:r>
        <w:rPr>
          <w:rFonts w:ascii="仿宋_GB2312" w:eastAsia="仿宋_GB2312" w:hAnsi="仿宋_GB2312" w:cs="仿宋_GB2312" w:hint="eastAsia"/>
          <w:b/>
          <w:bCs/>
          <w:spacing w:val="6"/>
          <w:sz w:val="32"/>
          <w:szCs w:val="32"/>
        </w:rPr>
        <w:t>“四川正道文化”头条号、快手号、</w:t>
      </w:r>
      <w:proofErr w:type="gramStart"/>
      <w:r>
        <w:rPr>
          <w:rFonts w:ascii="仿宋_GB2312" w:eastAsia="仿宋_GB2312" w:hAnsi="仿宋_GB2312" w:cs="仿宋_GB2312" w:hint="eastAsia"/>
          <w:b/>
          <w:bCs/>
          <w:spacing w:val="6"/>
          <w:sz w:val="32"/>
          <w:szCs w:val="32"/>
        </w:rPr>
        <w:t>抖音号成绩</w:t>
      </w:r>
      <w:proofErr w:type="gramEnd"/>
      <w:r>
        <w:rPr>
          <w:rFonts w:ascii="仿宋_GB2312" w:eastAsia="仿宋_GB2312" w:hAnsi="仿宋_GB2312" w:cs="仿宋_GB2312" w:hint="eastAsia"/>
          <w:b/>
          <w:bCs/>
          <w:spacing w:val="6"/>
          <w:sz w:val="32"/>
          <w:szCs w:val="32"/>
        </w:rPr>
        <w:t>提升。</w:t>
      </w:r>
      <w:r>
        <w:rPr>
          <w:rFonts w:ascii="仿宋_GB2312" w:eastAsia="仿宋_GB2312" w:hAnsi="仿宋_GB2312" w:cs="仿宋_GB2312" w:hint="eastAsia"/>
          <w:spacing w:val="6"/>
          <w:sz w:val="32"/>
          <w:szCs w:val="32"/>
        </w:rPr>
        <w:t>今年以来，</w:t>
      </w:r>
      <w:proofErr w:type="gramStart"/>
      <w:r>
        <w:rPr>
          <w:rFonts w:ascii="仿宋_GB2312" w:eastAsia="仿宋_GB2312" w:hAnsi="仿宋_GB2312" w:cs="仿宋_GB2312" w:hint="eastAsia"/>
          <w:spacing w:val="6"/>
          <w:sz w:val="32"/>
          <w:szCs w:val="32"/>
        </w:rPr>
        <w:t>头条号</w:t>
      </w:r>
      <w:proofErr w:type="gramEnd"/>
      <w:r>
        <w:rPr>
          <w:rFonts w:ascii="仿宋_GB2312" w:eastAsia="仿宋_GB2312" w:hAnsi="仿宋_GB2312" w:cs="仿宋_GB2312" w:hint="eastAsia"/>
          <w:spacing w:val="6"/>
          <w:sz w:val="32"/>
          <w:szCs w:val="32"/>
        </w:rPr>
        <w:t>29次进入</w:t>
      </w:r>
      <w:proofErr w:type="gramStart"/>
      <w:r w:rsidR="0028093C">
        <w:rPr>
          <w:rFonts w:ascii="仿宋_GB2312" w:eastAsia="仿宋_GB2312" w:hAnsi="仿宋_GB2312" w:cs="仿宋_GB2312" w:hint="eastAsia"/>
          <w:spacing w:val="6"/>
          <w:sz w:val="32"/>
          <w:szCs w:val="32"/>
        </w:rPr>
        <w:t>法治网</w:t>
      </w:r>
      <w:proofErr w:type="gramEnd"/>
      <w:r w:rsidR="0028093C">
        <w:rPr>
          <w:rFonts w:ascii="仿宋_GB2312" w:eastAsia="仿宋_GB2312" w:hAnsi="仿宋_GB2312" w:cs="仿宋_GB2312" w:hint="eastAsia"/>
          <w:spacing w:val="6"/>
          <w:sz w:val="32"/>
          <w:szCs w:val="32"/>
        </w:rPr>
        <w:t>舆情中心</w:t>
      </w:r>
      <w:r>
        <w:rPr>
          <w:rFonts w:ascii="仿宋_GB2312" w:eastAsia="仿宋_GB2312" w:hAnsi="仿宋_GB2312" w:cs="仿宋_GB2312" w:hint="eastAsia"/>
          <w:spacing w:val="6"/>
          <w:sz w:val="32"/>
          <w:szCs w:val="32"/>
        </w:rPr>
        <w:t>发布的全国反邪教</w:t>
      </w:r>
      <w:proofErr w:type="gramStart"/>
      <w:r>
        <w:rPr>
          <w:rFonts w:ascii="仿宋_GB2312" w:eastAsia="仿宋_GB2312" w:hAnsi="仿宋_GB2312" w:cs="仿宋_GB2312" w:hint="eastAsia"/>
          <w:spacing w:val="6"/>
          <w:sz w:val="32"/>
          <w:szCs w:val="32"/>
        </w:rPr>
        <w:t>系统周</w:t>
      </w:r>
      <w:proofErr w:type="gramEnd"/>
      <w:r>
        <w:rPr>
          <w:rFonts w:ascii="仿宋_GB2312" w:eastAsia="仿宋_GB2312" w:hAnsi="仿宋_GB2312" w:cs="仿宋_GB2312" w:hint="eastAsia"/>
          <w:spacing w:val="6"/>
          <w:sz w:val="32"/>
          <w:szCs w:val="32"/>
        </w:rPr>
        <w:t>排行榜前5名、18次进入前3名；快手号、</w:t>
      </w:r>
      <w:proofErr w:type="gramStart"/>
      <w:r>
        <w:rPr>
          <w:rFonts w:ascii="仿宋_GB2312" w:eastAsia="仿宋_GB2312" w:hAnsi="仿宋_GB2312" w:cs="仿宋_GB2312" w:hint="eastAsia"/>
          <w:spacing w:val="6"/>
          <w:sz w:val="32"/>
          <w:szCs w:val="32"/>
        </w:rPr>
        <w:t>抖音号发布</w:t>
      </w:r>
      <w:proofErr w:type="gramEnd"/>
      <w:r>
        <w:rPr>
          <w:rFonts w:ascii="仿宋_GB2312" w:eastAsia="仿宋_GB2312" w:hAnsi="仿宋_GB2312" w:cs="仿宋_GB2312" w:hint="eastAsia"/>
          <w:spacing w:val="6"/>
          <w:sz w:val="32"/>
          <w:szCs w:val="32"/>
        </w:rPr>
        <w:t>视频作品60余部，获得了近10万点赞量。</w:t>
      </w:r>
    </w:p>
    <w:p w:rsidR="00862873" w:rsidRDefault="00284150" w:rsidP="00284150">
      <w:pPr>
        <w:tabs>
          <w:tab w:val="left" w:pos="643"/>
        </w:tabs>
        <w:spacing w:line="580" w:lineRule="exact"/>
        <w:ind w:firstLineChars="200" w:firstLine="664"/>
        <w:rPr>
          <w:rFonts w:ascii="黑体" w:eastAsia="黑体" w:hAnsi="黑体" w:cs="黑体"/>
          <w:spacing w:val="6"/>
          <w:sz w:val="32"/>
          <w:szCs w:val="32"/>
        </w:rPr>
      </w:pPr>
      <w:r>
        <w:rPr>
          <w:rFonts w:ascii="黑体" w:eastAsia="黑体" w:hAnsi="黑体" w:cs="黑体" w:hint="eastAsia"/>
          <w:spacing w:val="6"/>
          <w:sz w:val="32"/>
          <w:szCs w:val="32"/>
        </w:rPr>
        <w:t>（二）</w:t>
      </w:r>
      <w:r w:rsidR="0057224F">
        <w:rPr>
          <w:rFonts w:ascii="黑体" w:eastAsia="黑体" w:hAnsi="黑体" w:cs="黑体" w:hint="eastAsia"/>
          <w:spacing w:val="6"/>
          <w:sz w:val="32"/>
          <w:szCs w:val="32"/>
        </w:rPr>
        <w:t>抓住线上线下“连接点”，开展多形式全覆盖反邪教宣传活动。</w:t>
      </w:r>
    </w:p>
    <w:p w:rsidR="00862873" w:rsidRDefault="0057224F" w:rsidP="0028093C">
      <w:pPr>
        <w:tabs>
          <w:tab w:val="left" w:pos="643"/>
        </w:tabs>
        <w:adjustRightInd w:val="0"/>
        <w:spacing w:line="580" w:lineRule="exact"/>
        <w:ind w:firstLineChars="200" w:firstLine="667"/>
        <w:rPr>
          <w:rFonts w:ascii="仿宋_GB2312" w:eastAsia="仿宋_GB2312" w:hAnsi="仿宋_GB2312" w:cs="仿宋_GB2312"/>
          <w:b/>
          <w:bCs/>
          <w:spacing w:val="6"/>
          <w:sz w:val="32"/>
          <w:szCs w:val="32"/>
        </w:rPr>
      </w:pPr>
      <w:r>
        <w:rPr>
          <w:rFonts w:ascii="仿宋_GB2312" w:eastAsia="仿宋_GB2312" w:hAnsi="仿宋_GB2312" w:cs="仿宋_GB2312" w:hint="eastAsia"/>
          <w:b/>
          <w:bCs/>
          <w:spacing w:val="6"/>
          <w:sz w:val="32"/>
          <w:szCs w:val="32"/>
        </w:rPr>
        <w:t>一是以活动为连接，</w:t>
      </w:r>
      <w:r>
        <w:rPr>
          <w:rFonts w:ascii="仿宋_GB2312" w:eastAsia="仿宋_GB2312" w:hAnsi="仿宋_GB2312" w:cs="仿宋_GB2312" w:hint="eastAsia"/>
          <w:b/>
          <w:spacing w:val="6"/>
          <w:sz w:val="32"/>
          <w:szCs w:val="32"/>
        </w:rPr>
        <w:t>持续开展反邪教文化宣传</w:t>
      </w:r>
      <w:r>
        <w:rPr>
          <w:rFonts w:ascii="仿宋_GB2312" w:eastAsia="仿宋_GB2312" w:hAnsi="仿宋_GB2312" w:cs="仿宋_GB2312" w:hint="eastAsia"/>
          <w:b/>
          <w:bCs/>
          <w:spacing w:val="6"/>
          <w:sz w:val="32"/>
          <w:szCs w:val="32"/>
        </w:rPr>
        <w:t>。</w:t>
      </w:r>
      <w:r>
        <w:rPr>
          <w:rFonts w:ascii="仿宋_GB2312" w:eastAsia="仿宋_GB2312" w:hAnsi="仿宋_GB2312" w:cs="仿宋_GB2312" w:hint="eastAsia"/>
          <w:spacing w:val="6"/>
          <w:sz w:val="32"/>
          <w:szCs w:val="32"/>
        </w:rPr>
        <w:t>2021年初，中心在微信、快手、抖音等平台持续开展了“创无邪 促平安”反邪教文化宣传周系列活动，得到了省妇联、四川大学、西南交大等相关单位学校的转发支持，截止活动结束，总体参与数量达到1130万余次。</w:t>
      </w:r>
      <w:r>
        <w:rPr>
          <w:rFonts w:ascii="仿宋_GB2312" w:eastAsia="仿宋_GB2312" w:hAnsi="仿宋_GB2312" w:cs="仿宋_GB2312" w:hint="eastAsia"/>
          <w:bCs/>
          <w:spacing w:val="6"/>
          <w:sz w:val="32"/>
          <w:szCs w:val="32"/>
        </w:rPr>
        <w:t>6月，中心联合机关党委、宣传指导处在全省范围</w:t>
      </w:r>
      <w:r>
        <w:rPr>
          <w:rFonts w:ascii="仿宋_GB2312" w:eastAsia="仿宋_GB2312" w:hAnsi="仿宋_GB2312" w:cs="仿宋_GB2312" w:hint="eastAsia"/>
          <w:spacing w:val="6"/>
          <w:kern w:val="0"/>
          <w:sz w:val="32"/>
          <w:szCs w:val="32"/>
        </w:rPr>
        <w:t>开展了“红色印记 百年步履”主题网宣活动，将运动打卡、学习答题、百年大事件回顾和线下红色基地参观有机整合，</w:t>
      </w:r>
      <w:r>
        <w:rPr>
          <w:rFonts w:ascii="仿宋_GB2312" w:eastAsia="仿宋_GB2312" w:hAnsi="仿宋_GB2312" w:cs="仿宋_GB2312" w:hint="eastAsia"/>
          <w:spacing w:val="6"/>
          <w:sz w:val="32"/>
          <w:szCs w:val="32"/>
        </w:rPr>
        <w:t>动员全省各地及时组织专门力量，</w:t>
      </w:r>
      <w:r>
        <w:rPr>
          <w:rFonts w:ascii="仿宋_GB2312" w:eastAsia="仿宋_GB2312" w:hAnsi="仿宋_GB2312" w:cs="仿宋_GB2312" w:hint="eastAsia"/>
          <w:spacing w:val="6"/>
          <w:kern w:val="0"/>
          <w:sz w:val="32"/>
          <w:szCs w:val="32"/>
        </w:rPr>
        <w:t>发动政法干警积极参与。7月，</w:t>
      </w:r>
      <w:r>
        <w:rPr>
          <w:rFonts w:ascii="仿宋_GB2312" w:eastAsia="仿宋_GB2312" w:hAnsi="仿宋_GB2312" w:cs="仿宋_GB2312" w:hint="eastAsia"/>
          <w:spacing w:val="6"/>
          <w:sz w:val="32"/>
          <w:szCs w:val="32"/>
        </w:rPr>
        <w:t>选拔了全省线上活动优胜者代表，赴巴中开展“沉浸式”党史学习教育，此次主题活动</w:t>
      </w:r>
      <w:r>
        <w:rPr>
          <w:rFonts w:ascii="仿宋_GB2312" w:eastAsia="仿宋_GB2312" w:hAnsi="仿宋_GB2312" w:cs="仿宋_GB2312" w:hint="eastAsia"/>
          <w:spacing w:val="6"/>
          <w:kern w:val="0"/>
          <w:sz w:val="32"/>
          <w:szCs w:val="32"/>
        </w:rPr>
        <w:t>参与人数累计达377万人次，总答</w:t>
      </w:r>
      <w:r>
        <w:rPr>
          <w:rFonts w:ascii="仿宋_GB2312" w:eastAsia="仿宋_GB2312" w:hAnsi="仿宋_GB2312" w:cs="仿宋_GB2312" w:hint="eastAsia"/>
          <w:spacing w:val="6"/>
          <w:kern w:val="0"/>
          <w:sz w:val="32"/>
          <w:szCs w:val="32"/>
        </w:rPr>
        <w:lastRenderedPageBreak/>
        <w:t>题数突破1800万，</w:t>
      </w:r>
      <w:r>
        <w:rPr>
          <w:rFonts w:ascii="仿宋_GB2312" w:eastAsia="仿宋_GB2312" w:hAnsi="仿宋_GB2312" w:cs="仿宋_GB2312" w:hint="eastAsia"/>
          <w:spacing w:val="6"/>
          <w:sz w:val="32"/>
          <w:szCs w:val="32"/>
        </w:rPr>
        <w:t>平台新增粉丝5万余人。9月，中心配合四川反邪教协会在四川电视台举办了2021年四川省防范邪教宣传月启动仪式直播，同步观看</w:t>
      </w:r>
      <w:r>
        <w:rPr>
          <w:rFonts w:ascii="仿宋_GB2312" w:eastAsia="仿宋_GB2312" w:hAnsi="仿宋_GB2312" w:cs="仿宋_GB2312"/>
          <w:spacing w:val="6"/>
          <w:sz w:val="32"/>
          <w:szCs w:val="32"/>
        </w:rPr>
        <w:t>人数多达200万人次</w:t>
      </w:r>
      <w:r>
        <w:rPr>
          <w:rFonts w:ascii="仿宋_GB2312" w:eastAsia="仿宋_GB2312" w:hAnsi="仿宋_GB2312" w:cs="仿宋_GB2312" w:hint="eastAsia"/>
          <w:spacing w:val="6"/>
          <w:sz w:val="32"/>
          <w:szCs w:val="32"/>
        </w:rPr>
        <w:t>，多所高校同时观看并开展相关反邪教教育宣讲活动，</w:t>
      </w:r>
      <w:r>
        <w:rPr>
          <w:rFonts w:ascii="仿宋_GB2312" w:eastAsia="仿宋_GB2312" w:hAnsi="仿宋_GB2312" w:cs="仿宋_GB2312"/>
          <w:spacing w:val="6"/>
          <w:sz w:val="32"/>
          <w:szCs w:val="32"/>
        </w:rPr>
        <w:t>再一次掀起了反邪教宣传的热潮</w:t>
      </w:r>
      <w:r>
        <w:rPr>
          <w:rFonts w:ascii="仿宋_GB2312" w:eastAsia="仿宋_GB2312" w:hAnsi="仿宋_GB2312" w:cs="仿宋_GB2312" w:hint="eastAsia"/>
          <w:spacing w:val="6"/>
          <w:sz w:val="32"/>
          <w:szCs w:val="32"/>
        </w:rPr>
        <w:t>。</w:t>
      </w:r>
      <w:r>
        <w:rPr>
          <w:rFonts w:ascii="仿宋_GB2312" w:eastAsia="仿宋_GB2312" w:hAnsi="仿宋_GB2312" w:cs="仿宋_GB2312" w:hint="eastAsia"/>
          <w:b/>
          <w:bCs/>
          <w:spacing w:val="6"/>
          <w:sz w:val="32"/>
          <w:szCs w:val="32"/>
        </w:rPr>
        <w:t>二是以校园为连接，</w:t>
      </w:r>
      <w:r>
        <w:rPr>
          <w:rFonts w:ascii="仿宋_GB2312" w:eastAsia="仿宋_GB2312" w:hAnsi="仿宋_GB2312" w:cs="仿宋_GB2312" w:hint="eastAsia"/>
          <w:b/>
          <w:spacing w:val="6"/>
          <w:sz w:val="32"/>
          <w:szCs w:val="32"/>
        </w:rPr>
        <w:t>营造平安和谐校园环境</w:t>
      </w:r>
      <w:r>
        <w:rPr>
          <w:rFonts w:ascii="仿宋_GB2312" w:eastAsia="仿宋_GB2312" w:hAnsi="仿宋_GB2312" w:cs="仿宋_GB2312" w:hint="eastAsia"/>
          <w:b/>
          <w:bCs/>
          <w:spacing w:val="6"/>
          <w:sz w:val="32"/>
          <w:szCs w:val="32"/>
        </w:rPr>
        <w:t>。</w:t>
      </w:r>
      <w:r>
        <w:rPr>
          <w:rFonts w:ascii="仿宋_GB2312" w:eastAsia="仿宋_GB2312" w:hAnsi="仿宋_GB2312" w:cs="仿宋_GB2312" w:hint="eastAsia"/>
          <w:spacing w:val="6"/>
          <w:sz w:val="32"/>
          <w:szCs w:val="32"/>
        </w:rPr>
        <w:t>在“4.15”国家安全日，中心联合省公安厅反邪教总队在电子科技大学开展了“反邪教宣传教育进校园”活动，吸引了近千名师生参加。活动通过四川反邪教官方微博、四川新闻网等平台进行了现场直播，讲解邪教的特征和危害，使广大师生牢固树立“国家安全重于泰山，平安中国高于一切”的安全理念，营造出“反对邪教，崇尚科学”的和谐校园环境。</w:t>
      </w:r>
      <w:r>
        <w:rPr>
          <w:rFonts w:ascii="仿宋_GB2312" w:eastAsia="仿宋_GB2312" w:hAnsi="仿宋_GB2312" w:cs="仿宋_GB2312" w:hint="eastAsia"/>
          <w:b/>
          <w:bCs/>
          <w:spacing w:val="6"/>
          <w:sz w:val="32"/>
          <w:szCs w:val="32"/>
        </w:rPr>
        <w:t>三是以创优秀作品为连接，</w:t>
      </w:r>
      <w:r>
        <w:rPr>
          <w:rFonts w:ascii="仿宋_GB2312" w:eastAsia="仿宋_GB2312" w:hAnsi="仿宋_GB2312" w:cs="仿宋_GB2312" w:hint="eastAsia"/>
          <w:b/>
          <w:spacing w:val="6"/>
          <w:sz w:val="32"/>
          <w:szCs w:val="32"/>
        </w:rPr>
        <w:t>提升平台影响力</w:t>
      </w:r>
      <w:r>
        <w:rPr>
          <w:rFonts w:ascii="仿宋_GB2312" w:eastAsia="仿宋_GB2312" w:hAnsi="仿宋_GB2312" w:cs="仿宋_GB2312" w:hint="eastAsia"/>
          <w:b/>
          <w:bCs/>
          <w:spacing w:val="6"/>
          <w:sz w:val="32"/>
          <w:szCs w:val="32"/>
        </w:rPr>
        <w:t>。</w:t>
      </w:r>
      <w:r>
        <w:rPr>
          <w:rFonts w:ascii="仿宋_GB2312" w:eastAsia="仿宋_GB2312" w:hAnsi="仿宋_GB2312" w:cs="仿宋_GB2312" w:hint="eastAsia"/>
          <w:spacing w:val="6"/>
          <w:sz w:val="32"/>
          <w:szCs w:val="32"/>
        </w:rPr>
        <w:t>年初，中心在省内院校举办了“青春无邪 法典相伴”优秀征文活动，评选出各类优秀作品60余篇（部），在四川长安网蜀风专栏进行了展播。年底，中心联合中国反邪教网在全国范围举办了反邪教优秀原创作品征集活动，收到了来自全国共计300余部优秀反邪教文字、视频作品，较上次活动数量提升近20%，通过活动开展，进一步提升了平台影响力。</w:t>
      </w:r>
    </w:p>
    <w:p w:rsidR="00862873" w:rsidRDefault="00284150">
      <w:pPr>
        <w:tabs>
          <w:tab w:val="left" w:pos="643"/>
        </w:tabs>
        <w:spacing w:line="580" w:lineRule="exact"/>
        <w:ind w:firstLineChars="200" w:firstLine="664"/>
        <w:rPr>
          <w:rFonts w:ascii="黑体" w:eastAsia="黑体" w:hAnsi="黑体" w:cs="黑体"/>
          <w:spacing w:val="6"/>
          <w:sz w:val="32"/>
          <w:szCs w:val="32"/>
        </w:rPr>
      </w:pPr>
      <w:r>
        <w:rPr>
          <w:rFonts w:ascii="黑体" w:eastAsia="黑体" w:hAnsi="黑体" w:cs="黑体" w:hint="eastAsia"/>
          <w:spacing w:val="6"/>
          <w:sz w:val="32"/>
          <w:szCs w:val="32"/>
        </w:rPr>
        <w:t>（三）</w:t>
      </w:r>
      <w:r w:rsidR="0057224F">
        <w:rPr>
          <w:rFonts w:ascii="黑体" w:eastAsia="黑体" w:hAnsi="黑体" w:cs="黑体" w:hint="eastAsia"/>
          <w:spacing w:val="6"/>
          <w:sz w:val="32"/>
          <w:szCs w:val="32"/>
        </w:rPr>
        <w:t>找准内容为王“着力点”，以作品为载体让反邪观念深入人心。</w:t>
      </w:r>
    </w:p>
    <w:p w:rsidR="00862873" w:rsidRDefault="0057224F" w:rsidP="0028093C">
      <w:pPr>
        <w:tabs>
          <w:tab w:val="left" w:pos="643"/>
        </w:tabs>
        <w:spacing w:line="580" w:lineRule="exact"/>
        <w:ind w:firstLineChars="200" w:firstLine="667"/>
        <w:rPr>
          <w:rFonts w:ascii="仿宋_GB2312" w:eastAsia="仿宋_GB2312" w:hAnsi="仿宋_GB2312" w:cs="仿宋_GB2312"/>
          <w:spacing w:val="6"/>
          <w:sz w:val="32"/>
          <w:szCs w:val="32"/>
        </w:rPr>
      </w:pPr>
      <w:r>
        <w:rPr>
          <w:rFonts w:ascii="仿宋_GB2312" w:eastAsia="仿宋_GB2312" w:hAnsi="仿宋_GB2312" w:cs="仿宋_GB2312" w:hint="eastAsia"/>
          <w:b/>
          <w:bCs/>
          <w:spacing w:val="6"/>
          <w:sz w:val="32"/>
          <w:szCs w:val="32"/>
        </w:rPr>
        <w:t>一是着力创作原创稿件。</w:t>
      </w:r>
      <w:r>
        <w:rPr>
          <w:rFonts w:ascii="仿宋_GB2312" w:eastAsia="仿宋_GB2312" w:hAnsi="仿宋_GB2312" w:cs="仿宋_GB2312" w:hint="eastAsia"/>
          <w:spacing w:val="6"/>
          <w:sz w:val="32"/>
          <w:szCs w:val="32"/>
        </w:rPr>
        <w:t>今年以来，中心反邪教专业原创稿件共计发布273篇，被中央采用71篇。</w:t>
      </w:r>
      <w:r>
        <w:rPr>
          <w:rFonts w:ascii="仿宋_GB2312" w:eastAsia="仿宋_GB2312" w:hAnsi="仿宋_GB2312" w:cs="仿宋_GB2312" w:hint="eastAsia"/>
          <w:bCs/>
          <w:spacing w:val="6"/>
          <w:sz w:val="32"/>
          <w:szCs w:val="32"/>
        </w:rPr>
        <w:t>针对“4.25”、“5.13”、“5.28”敏感日，在各平台发布了</w:t>
      </w:r>
      <w:r>
        <w:rPr>
          <w:rFonts w:ascii="仿宋_GB2312" w:eastAsia="仿宋_GB2312" w:hAnsi="仿宋_GB2312" w:cs="仿宋_GB2312" w:hint="eastAsia"/>
          <w:spacing w:val="6"/>
          <w:sz w:val="32"/>
          <w:szCs w:val="32"/>
        </w:rPr>
        <w:t>《揭穿李洪志</w:t>
      </w:r>
      <w:r>
        <w:rPr>
          <w:rFonts w:ascii="仿宋_GB2312" w:eastAsia="仿宋_GB2312" w:hAnsi="仿宋_GB2312" w:cs="仿宋_GB2312" w:hint="eastAsia"/>
          <w:spacing w:val="6"/>
          <w:sz w:val="32"/>
          <w:szCs w:val="32"/>
        </w:rPr>
        <w:lastRenderedPageBreak/>
        <w:t>“超越”的把戏》、《沾染全能神，终成杀人犯》、《“法轮功”邪教的图谋为何再遭失败》</w:t>
      </w:r>
      <w:r>
        <w:rPr>
          <w:rFonts w:ascii="仿宋_GB2312" w:eastAsia="仿宋_GB2312" w:hAnsi="仿宋_GB2312" w:cs="仿宋_GB2312" w:hint="eastAsia"/>
          <w:bCs/>
          <w:spacing w:val="6"/>
          <w:sz w:val="32"/>
          <w:szCs w:val="32"/>
        </w:rPr>
        <w:t>等多篇专业原创文章。</w:t>
      </w:r>
      <w:r>
        <w:rPr>
          <w:rFonts w:ascii="仿宋_GB2312" w:eastAsia="仿宋_GB2312" w:hAnsi="仿宋_GB2312" w:cs="仿宋_GB2312" w:hint="eastAsia"/>
          <w:b/>
          <w:spacing w:val="6"/>
          <w:sz w:val="32"/>
          <w:szCs w:val="32"/>
        </w:rPr>
        <w:t>二是着力优化平台栏目。</w:t>
      </w:r>
      <w:r>
        <w:rPr>
          <w:rFonts w:ascii="仿宋_GB2312" w:eastAsia="仿宋_GB2312" w:hAnsi="仿宋_GB2312" w:cs="仿宋_GB2312" w:hint="eastAsia"/>
          <w:bCs/>
          <w:spacing w:val="6"/>
          <w:sz w:val="32"/>
          <w:szCs w:val="32"/>
        </w:rPr>
        <w:t>今年以来，中心多次提档升级四川长安网蜀风专栏，进一步突出反邪教特色栏目，不断持续优化专栏设置，新增了“地方文艺”等全新板块，为全省反邪教工作开展提供充实的作品支撑，为市州建立丰富多彩的网上反邪教资料库。</w:t>
      </w:r>
      <w:r>
        <w:rPr>
          <w:rFonts w:ascii="仿宋_GB2312" w:eastAsia="仿宋_GB2312" w:hAnsi="仿宋_GB2312" w:cs="仿宋_GB2312" w:hint="eastAsia"/>
          <w:b/>
          <w:spacing w:val="6"/>
          <w:sz w:val="32"/>
          <w:szCs w:val="32"/>
        </w:rPr>
        <w:t>三是着力拓展作品形式。</w:t>
      </w:r>
      <w:r>
        <w:rPr>
          <w:rFonts w:ascii="仿宋_GB2312" w:eastAsia="仿宋_GB2312" w:hAnsi="仿宋_GB2312" w:cs="仿宋_GB2312" w:hint="eastAsia"/>
          <w:bCs/>
          <w:spacing w:val="6"/>
          <w:sz w:val="32"/>
          <w:szCs w:val="32"/>
        </w:rPr>
        <w:t>精心组织人员将反邪教报告文学《交锋》改编</w:t>
      </w:r>
      <w:r w:rsidR="00E91D5B">
        <w:rPr>
          <w:rFonts w:ascii="仿宋_GB2312" w:eastAsia="仿宋_GB2312" w:hAnsi="仿宋_GB2312" w:cs="仿宋_GB2312" w:hint="eastAsia"/>
          <w:bCs/>
          <w:spacing w:val="6"/>
          <w:sz w:val="32"/>
          <w:szCs w:val="32"/>
        </w:rPr>
        <w:t>成</w:t>
      </w:r>
      <w:r>
        <w:rPr>
          <w:rFonts w:ascii="仿宋_GB2312" w:eastAsia="仿宋_GB2312" w:hAnsi="仿宋_GB2312" w:cs="仿宋_GB2312" w:hint="eastAsia"/>
          <w:bCs/>
          <w:spacing w:val="6"/>
          <w:sz w:val="32"/>
          <w:szCs w:val="32"/>
        </w:rPr>
        <w:t>电影剧本，并制作成微电影。今年报送的</w:t>
      </w:r>
      <w:r>
        <w:rPr>
          <w:rFonts w:ascii="仿宋_GB2312" w:eastAsia="仿宋_GB2312" w:hAnsi="仿宋_GB2312" w:cs="仿宋_GB2312" w:hint="eastAsia"/>
          <w:spacing w:val="6"/>
          <w:sz w:val="32"/>
          <w:szCs w:val="32"/>
        </w:rPr>
        <w:t>《网格员故事之大爱无邪》获得了第五届平安中国看四川“三微”比赛优秀微电影奖。</w:t>
      </w:r>
    </w:p>
    <w:p w:rsidR="00862873" w:rsidRDefault="00284150">
      <w:pPr>
        <w:tabs>
          <w:tab w:val="left" w:pos="643"/>
        </w:tabs>
        <w:spacing w:line="580" w:lineRule="exact"/>
        <w:ind w:firstLineChars="200" w:firstLine="664"/>
        <w:rPr>
          <w:rFonts w:ascii="仿宋_GB2312" w:eastAsia="仿宋_GB2312" w:hAnsi="仿宋_GB2312" w:cs="仿宋_GB2312"/>
          <w:spacing w:val="6"/>
          <w:sz w:val="32"/>
          <w:szCs w:val="32"/>
        </w:rPr>
      </w:pPr>
      <w:r>
        <w:rPr>
          <w:rFonts w:ascii="黑体" w:eastAsia="黑体" w:hAnsi="黑体" w:cs="黑体" w:hint="eastAsia"/>
          <w:spacing w:val="6"/>
          <w:sz w:val="32"/>
          <w:szCs w:val="32"/>
        </w:rPr>
        <w:t>（四）</w:t>
      </w:r>
      <w:r w:rsidR="0057224F">
        <w:rPr>
          <w:rFonts w:ascii="黑体" w:eastAsia="黑体" w:hAnsi="黑体" w:cs="黑体" w:hint="eastAsia"/>
          <w:spacing w:val="6"/>
          <w:sz w:val="32"/>
          <w:szCs w:val="32"/>
        </w:rPr>
        <w:t>借力补足短板“发力点”，联动部门建立反邪教宣传激励机制。</w:t>
      </w:r>
      <w:r w:rsidR="0057224F">
        <w:rPr>
          <w:rFonts w:ascii="仿宋_GB2312" w:eastAsia="仿宋_GB2312" w:hAnsi="仿宋_GB2312" w:cs="仿宋_GB2312" w:hint="eastAsia"/>
          <w:spacing w:val="6"/>
          <w:sz w:val="32"/>
          <w:szCs w:val="32"/>
        </w:rPr>
        <w:t>针对目前全省反邪教宣传工作有所弱化的现状，中心紧扣平安四川建设大局，对外对接联系了省网信办、省反邪教协会、省公安厅反邪教总队，征求工作意见建议；对内联合反邪教协调处、宣传指导处等相关部门，商讨起草了《中共四川省委政法委员会反邪教网络宣传工作考核办法（征求意见稿）》，拟在全省范围内建立联络工作机制，联动全省反邪教宣传工作，进一步激励基层反邪教宣传动能。</w:t>
      </w:r>
    </w:p>
    <w:p w:rsidR="00862873" w:rsidRDefault="00284150">
      <w:pPr>
        <w:spacing w:line="580" w:lineRule="exact"/>
        <w:ind w:firstLineChars="200" w:firstLine="664"/>
        <w:rPr>
          <w:rFonts w:ascii="仿宋_GB2312" w:eastAsia="仿宋_GB2312" w:hAnsi="仿宋_GB2312" w:cs="仿宋_GB2312"/>
          <w:spacing w:val="6"/>
          <w:sz w:val="32"/>
          <w:szCs w:val="32"/>
        </w:rPr>
      </w:pPr>
      <w:r>
        <w:rPr>
          <w:rFonts w:ascii="黑体" w:eastAsia="黑体" w:hAnsi="黑体" w:cs="黑体" w:hint="eastAsia"/>
          <w:spacing w:val="6"/>
          <w:sz w:val="32"/>
          <w:szCs w:val="32"/>
        </w:rPr>
        <w:t>（五）</w:t>
      </w:r>
      <w:r w:rsidR="0057224F">
        <w:rPr>
          <w:rFonts w:ascii="黑体" w:eastAsia="黑体" w:hAnsi="黑体" w:cs="黑体" w:hint="eastAsia"/>
          <w:spacing w:val="6"/>
          <w:sz w:val="32"/>
          <w:szCs w:val="32"/>
        </w:rPr>
        <w:t>走访基层出谋献策，智库服务政法拓展宽潜力足</w:t>
      </w:r>
    </w:p>
    <w:p w:rsidR="00862873" w:rsidRDefault="00284150">
      <w:pPr>
        <w:spacing w:line="580" w:lineRule="exact"/>
        <w:ind w:firstLineChars="200" w:firstLine="664"/>
        <w:rPr>
          <w:rFonts w:ascii="仿宋_GB2312" w:eastAsia="仿宋_GB2312" w:hAnsi="仿宋_GB2312" w:cs="仿宋_GB2312"/>
          <w:spacing w:val="6"/>
          <w:sz w:val="32"/>
          <w:szCs w:val="32"/>
          <w:shd w:val="clear" w:color="auto" w:fill="FFFFFF"/>
        </w:rPr>
      </w:pPr>
      <w:r>
        <w:rPr>
          <w:rFonts w:ascii="楷体_GB2312" w:eastAsia="楷体_GB2312" w:hAnsi="楷体" w:cs="楷体" w:hint="eastAsia"/>
          <w:spacing w:val="6"/>
          <w:sz w:val="32"/>
          <w:szCs w:val="32"/>
        </w:rPr>
        <w:t>1、</w:t>
      </w:r>
      <w:r w:rsidR="0057224F">
        <w:rPr>
          <w:rFonts w:ascii="楷体_GB2312" w:eastAsia="楷体_GB2312" w:hAnsi="楷体" w:cs="楷体" w:hint="eastAsia"/>
          <w:spacing w:val="6"/>
          <w:sz w:val="32"/>
          <w:szCs w:val="32"/>
        </w:rPr>
        <w:t>开展多项主题调研活动，发挥“智囊团”作用。</w:t>
      </w:r>
      <w:r w:rsidR="0057224F">
        <w:rPr>
          <w:rFonts w:ascii="仿宋_GB2312" w:eastAsia="仿宋_GB2312" w:hAnsi="仿宋_GB2312" w:cs="仿宋_GB2312" w:hint="eastAsia"/>
          <w:b/>
          <w:bCs/>
          <w:spacing w:val="6"/>
          <w:sz w:val="32"/>
          <w:szCs w:val="32"/>
          <w:shd w:val="clear" w:color="auto" w:fill="FFFFFF"/>
        </w:rPr>
        <w:t>一是开展“走基层 解码平安四川”系列</w:t>
      </w:r>
      <w:r w:rsidR="0057224F">
        <w:rPr>
          <w:rFonts w:ascii="仿宋_GB2312" w:eastAsia="仿宋_GB2312" w:hAnsi="仿宋_GB2312" w:cs="仿宋_GB2312" w:hint="eastAsia"/>
          <w:b/>
          <w:bCs/>
          <w:spacing w:val="6"/>
          <w:sz w:val="32"/>
          <w:szCs w:val="32"/>
        </w:rPr>
        <w:t>主题调研活动。</w:t>
      </w:r>
      <w:r w:rsidR="0057224F">
        <w:rPr>
          <w:rFonts w:ascii="仿宋_GB2312" w:eastAsia="仿宋_GB2312" w:hAnsi="仿宋_GB2312" w:cs="仿宋_GB2312" w:hint="eastAsia"/>
          <w:spacing w:val="6"/>
          <w:sz w:val="32"/>
          <w:szCs w:val="32"/>
          <w:shd w:val="clear" w:color="auto" w:fill="FFFFFF"/>
        </w:rPr>
        <w:t>智库成员分别走访调研了德阳什邡、绵竹、资阳乐至、成都</w:t>
      </w:r>
      <w:r w:rsidR="0057224F">
        <w:rPr>
          <w:rFonts w:ascii="仿宋_GB2312" w:eastAsia="仿宋_GB2312" w:hAnsi="仿宋_GB2312" w:cs="仿宋_GB2312" w:hint="eastAsia"/>
          <w:spacing w:val="6"/>
          <w:sz w:val="32"/>
          <w:szCs w:val="32"/>
          <w:shd w:val="clear" w:color="auto" w:fill="FFFFFF"/>
        </w:rPr>
        <w:lastRenderedPageBreak/>
        <w:t>天府中央法务区、新津、蒲江等地区，近距离参观、体验、交流平安四川建设工作。深入一线见证基层平安建设的新思路、新模式、新做法，深刻感受到平安四川建设效果，同时也为基层工作提出了许多有建设性的意见建议。邓勇书记、世成常务副书记分别在智库办公室报送的调研报告上进行了批阅。同时，汇总基层好经验</w:t>
      </w:r>
      <w:r w:rsidR="00E91D5B">
        <w:rPr>
          <w:rFonts w:ascii="仿宋_GB2312" w:eastAsia="仿宋_GB2312" w:hAnsi="仿宋_GB2312" w:cs="仿宋_GB2312" w:hint="eastAsia"/>
          <w:spacing w:val="6"/>
          <w:sz w:val="32"/>
          <w:szCs w:val="32"/>
          <w:shd w:val="clear" w:color="auto" w:fill="FFFFFF"/>
        </w:rPr>
        <w:t>好</w:t>
      </w:r>
      <w:r w:rsidR="0057224F">
        <w:rPr>
          <w:rFonts w:ascii="仿宋_GB2312" w:eastAsia="仿宋_GB2312" w:hAnsi="仿宋_GB2312" w:cs="仿宋_GB2312" w:hint="eastAsia"/>
          <w:spacing w:val="6"/>
          <w:sz w:val="32"/>
          <w:szCs w:val="32"/>
          <w:shd w:val="clear" w:color="auto" w:fill="FFFFFF"/>
        </w:rPr>
        <w:t>做法报送省平安办，编发了《解码成都市新津区、蒲江县平安建设“样本”》简报，分送至中央政法委、省委办公厅、省人大常委会办公厅、省政府办公厅等单位。</w:t>
      </w:r>
      <w:r w:rsidR="0057224F">
        <w:rPr>
          <w:rFonts w:ascii="仿宋_GB2312" w:eastAsia="仿宋_GB2312" w:hAnsi="仿宋_GB2312" w:cs="仿宋_GB2312" w:hint="eastAsia"/>
          <w:b/>
          <w:bCs/>
          <w:spacing w:val="6"/>
          <w:sz w:val="32"/>
          <w:szCs w:val="32"/>
        </w:rPr>
        <w:t>二是开展</w:t>
      </w:r>
      <w:r w:rsidR="0057224F">
        <w:rPr>
          <w:rFonts w:ascii="仿宋_GB2312" w:eastAsia="仿宋_GB2312" w:hAnsi="仿宋_GB2312" w:cs="仿宋_GB2312" w:hint="eastAsia"/>
          <w:b/>
          <w:spacing w:val="6"/>
          <w:sz w:val="32"/>
          <w:szCs w:val="32"/>
        </w:rPr>
        <w:t>“助力基层治理 共话平安四川”</w:t>
      </w:r>
      <w:r w:rsidR="0057224F">
        <w:rPr>
          <w:rFonts w:ascii="仿宋_GB2312" w:eastAsia="仿宋_GB2312" w:hAnsi="仿宋_GB2312" w:cs="仿宋_GB2312" w:hint="eastAsia"/>
          <w:b/>
          <w:bCs/>
          <w:spacing w:val="6"/>
          <w:sz w:val="32"/>
          <w:szCs w:val="32"/>
        </w:rPr>
        <w:t>主题征文活动。</w:t>
      </w:r>
      <w:r w:rsidR="0057224F">
        <w:rPr>
          <w:rFonts w:ascii="仿宋_GB2312" w:eastAsia="仿宋_GB2312" w:hAnsi="仿宋_GB2312" w:cs="仿宋_GB2312" w:hint="eastAsia"/>
          <w:bCs/>
          <w:spacing w:val="6"/>
          <w:sz w:val="32"/>
          <w:szCs w:val="32"/>
        </w:rPr>
        <w:t>今年，</w:t>
      </w:r>
      <w:r w:rsidR="0057224F">
        <w:rPr>
          <w:rFonts w:ascii="仿宋_GB2312" w:eastAsia="仿宋_GB2312" w:hAnsi="仿宋_GB2312" w:cs="仿宋_GB2312" w:hint="eastAsia"/>
          <w:spacing w:val="6"/>
          <w:sz w:val="32"/>
          <w:szCs w:val="32"/>
        </w:rPr>
        <w:t>在深度调研走访基层政法单位，了解基层平安创建工作的经验做法基础上，开展了主题征文活动，智库专家成员积极撰稿，畅谈对平安四川建设的体会和感受，中心联合宣传指导处、基层社会治理处、矛盾多元化解处核稿编发印制了《“助力基层治理 共话平安四川”</w:t>
      </w:r>
      <w:r w:rsidR="0057224F">
        <w:rPr>
          <w:rFonts w:ascii="仿宋_GB2312" w:eastAsia="仿宋_GB2312" w:hAnsi="仿宋_GB2312" w:cs="仿宋_GB2312" w:hint="eastAsia"/>
          <w:bCs/>
          <w:spacing w:val="6"/>
          <w:sz w:val="32"/>
          <w:szCs w:val="32"/>
        </w:rPr>
        <w:t>主题活动征文集</w:t>
      </w:r>
      <w:r w:rsidR="0057224F">
        <w:rPr>
          <w:rFonts w:ascii="仿宋_GB2312" w:eastAsia="仿宋_GB2312" w:hAnsi="仿宋_GB2312" w:cs="仿宋_GB2312" w:hint="eastAsia"/>
          <w:spacing w:val="6"/>
          <w:sz w:val="32"/>
          <w:szCs w:val="32"/>
        </w:rPr>
        <w:t>》，提炼形成调研成果向基层推广。</w:t>
      </w:r>
    </w:p>
    <w:p w:rsidR="00647B52" w:rsidRDefault="00284150"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r>
        <w:rPr>
          <w:rFonts w:ascii="楷体_GB2312" w:eastAsia="楷体_GB2312" w:hAnsi="楷体" w:cs="楷体" w:hint="eastAsia"/>
          <w:spacing w:val="6"/>
          <w:kern w:val="2"/>
          <w:sz w:val="32"/>
          <w:szCs w:val="32"/>
        </w:rPr>
        <w:t>2、</w:t>
      </w:r>
      <w:r w:rsidR="0057224F">
        <w:rPr>
          <w:rFonts w:ascii="楷体_GB2312" w:eastAsia="楷体_GB2312" w:hAnsi="楷体" w:cs="楷体" w:hint="eastAsia"/>
          <w:spacing w:val="6"/>
          <w:kern w:val="2"/>
          <w:sz w:val="32"/>
          <w:szCs w:val="32"/>
        </w:rPr>
        <w:t>大力宣传基层政法工作，突出舆论宣传功能。</w:t>
      </w:r>
      <w:r w:rsidR="0057224F">
        <w:rPr>
          <w:rFonts w:ascii="仿宋_GB2312" w:eastAsia="仿宋_GB2312" w:hAnsi="楷体" w:cs="楷体" w:hint="eastAsia"/>
          <w:b/>
          <w:spacing w:val="6"/>
          <w:sz w:val="32"/>
          <w:szCs w:val="32"/>
          <w:shd w:val="clear" w:color="auto" w:fill="FFFFFF"/>
        </w:rPr>
        <w:t>一是</w:t>
      </w:r>
      <w:r w:rsidR="0057224F">
        <w:rPr>
          <w:rFonts w:ascii="仿宋_GB2312" w:eastAsia="仿宋_GB2312" w:hAnsi="仿宋" w:cs="仿宋" w:hint="eastAsia"/>
          <w:b/>
          <w:bCs/>
          <w:spacing w:val="6"/>
          <w:sz w:val="32"/>
          <w:szCs w:val="32"/>
        </w:rPr>
        <w:t>充分利用智库主流媒体平台，开展正面舆论宣传。</w:t>
      </w:r>
      <w:r w:rsidR="0057224F">
        <w:rPr>
          <w:rFonts w:ascii="仿宋_GB2312" w:eastAsia="仿宋_GB2312" w:hAnsi="仿宋" w:cs="仿宋" w:hint="eastAsia"/>
          <w:spacing w:val="6"/>
          <w:sz w:val="32"/>
          <w:szCs w:val="32"/>
        </w:rPr>
        <w:t>“走基层 解码平安四川”</w:t>
      </w:r>
      <w:r w:rsidR="0057224F">
        <w:rPr>
          <w:rFonts w:ascii="仿宋_GB2312" w:eastAsia="仿宋_GB2312" w:hAnsi="仿宋_GB2312" w:cs="仿宋_GB2312" w:hint="eastAsia"/>
          <w:spacing w:val="6"/>
          <w:sz w:val="32"/>
          <w:szCs w:val="32"/>
        </w:rPr>
        <w:t>“智库论见，助力基层治理”</w:t>
      </w:r>
      <w:r w:rsidR="0057224F">
        <w:rPr>
          <w:rFonts w:ascii="仿宋_GB2312" w:eastAsia="仿宋_GB2312" w:hAnsi="仿宋" w:cs="仿宋" w:hint="eastAsia"/>
          <w:spacing w:val="6"/>
          <w:sz w:val="32"/>
          <w:szCs w:val="32"/>
        </w:rPr>
        <w:t>活动相关报道在学习强国、人民网、民主与法制网、人民法治网、川观新闻、四川新闻网等多家中央、省级媒体上刊登报道。活动期间还同步开展了“平安四川大家说”微视频拍摄以及“我为平安四川代言”主题接力活动，基层政法干部、社区工作者、网格员、村民积极参与，点赞平安四川建设，</w:t>
      </w:r>
      <w:r w:rsidR="0057224F">
        <w:rPr>
          <w:rFonts w:ascii="仿宋_GB2312" w:eastAsia="仿宋_GB2312" w:hAnsi="仿宋" w:cs="仿宋" w:hint="eastAsia"/>
          <w:spacing w:val="6"/>
          <w:sz w:val="32"/>
          <w:szCs w:val="32"/>
        </w:rPr>
        <w:lastRenderedPageBreak/>
        <w:t>为平安四川代言，汇集平安四川建设正能量。同时，在四川长安网开设热点专题专栏，深度报道智库各项动态。</w:t>
      </w:r>
      <w:r w:rsidR="0057224F">
        <w:rPr>
          <w:rFonts w:ascii="仿宋_GB2312" w:eastAsia="仿宋_GB2312" w:hAnsi="仿宋" w:cs="仿宋" w:hint="eastAsia"/>
          <w:b/>
          <w:spacing w:val="6"/>
          <w:sz w:val="32"/>
          <w:szCs w:val="32"/>
        </w:rPr>
        <w:t>二是智库专家积极参与</w:t>
      </w:r>
      <w:r w:rsidR="0057224F">
        <w:rPr>
          <w:rFonts w:ascii="仿宋_GB2312" w:eastAsia="仿宋_GB2312" w:hAnsi="微软雅黑" w:hint="eastAsia"/>
          <w:b/>
          <w:spacing w:val="6"/>
          <w:sz w:val="32"/>
          <w:szCs w:val="32"/>
        </w:rPr>
        <w:t>“四川政法为民行动十大典型案例”评选。</w:t>
      </w:r>
      <w:r w:rsidR="0057224F">
        <w:rPr>
          <w:rFonts w:ascii="仿宋_GB2312" w:eastAsia="仿宋_GB2312" w:hAnsi="微软雅黑" w:hint="eastAsia"/>
          <w:spacing w:val="6"/>
          <w:sz w:val="32"/>
          <w:szCs w:val="32"/>
        </w:rPr>
        <w:t>今年，省政法队伍教育整顿领导小组办公室开展了“守初心 解难题 办实事”四川政法为民行动典型案例评选活动。11月，邀请部分智库专家对典型案例进行评审，通过评审进一步了解全省各级政法机关立足职责职能，开展“我为群众办实事”实践活动的行动成效，从社会不同岗位宣传、推广全省政法系统为民办实事典型经验做法。</w:t>
      </w:r>
      <w:bookmarkStart w:id="16" w:name="_GoBack"/>
      <w:bookmarkStart w:id="17" w:name="_Toc15396602"/>
      <w:bookmarkStart w:id="18" w:name="_Toc15377204"/>
      <w:bookmarkEnd w:id="16"/>
    </w:p>
    <w:p w:rsidR="00E74CDA" w:rsidRPr="00AD6434" w:rsidRDefault="00E74CDA" w:rsidP="00E74CDA">
      <w:pPr>
        <w:pStyle w:val="2"/>
        <w:ind w:left="640"/>
        <w:rPr>
          <w:rFonts w:ascii="黑体" w:eastAsia="黑体" w:hAnsi="黑体"/>
          <w:b w:val="0"/>
        </w:rPr>
      </w:pPr>
      <w:r w:rsidRPr="00AD6434">
        <w:rPr>
          <w:rFonts w:ascii="黑体" w:eastAsia="黑体" w:hAnsi="黑体" w:hint="eastAsia"/>
          <w:b w:val="0"/>
        </w:rPr>
        <w:t>三、机构设置情况</w:t>
      </w:r>
    </w:p>
    <w:p w:rsidR="00E74CDA" w:rsidRPr="00AD6434" w:rsidRDefault="00E74CDA" w:rsidP="00E74CDA">
      <w:pPr>
        <w:spacing w:line="600" w:lineRule="atLeast"/>
        <w:ind w:firstLineChars="200" w:firstLine="640"/>
        <w:rPr>
          <w:rFonts w:ascii="仿宋_GB2312" w:eastAsia="仿宋_GB2312" w:hAnsi="仿宋_GB2312" w:cs="仿宋_GB2312"/>
          <w:sz w:val="32"/>
          <w:szCs w:val="32"/>
        </w:rPr>
      </w:pPr>
      <w:r w:rsidRPr="00AD6434">
        <w:rPr>
          <w:rFonts w:ascii="仿宋_GB2312" w:eastAsia="仿宋_GB2312" w:hAnsi="仿宋_GB2312" w:cs="仿宋_GB2312" w:hint="eastAsia"/>
          <w:sz w:val="32"/>
          <w:szCs w:val="32"/>
        </w:rPr>
        <w:t>正道文化传播中心由3个内设机构组成，分别是：综合部、网宣部和研究部。</w:t>
      </w:r>
    </w:p>
    <w:p w:rsidR="00647B52" w:rsidRPr="00E74CDA"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647B52" w:rsidRDefault="00647B52" w:rsidP="00647B52">
      <w:pPr>
        <w:pStyle w:val="a7"/>
        <w:spacing w:before="0" w:beforeAutospacing="0" w:after="0" w:afterAutospacing="0" w:line="580" w:lineRule="exact"/>
        <w:ind w:firstLineChars="200" w:firstLine="664"/>
        <w:jc w:val="both"/>
        <w:rPr>
          <w:rFonts w:ascii="仿宋_GB2312" w:eastAsia="仿宋_GB2312" w:hAnsi="微软雅黑"/>
          <w:spacing w:val="6"/>
          <w:sz w:val="32"/>
          <w:szCs w:val="32"/>
        </w:rPr>
      </w:pPr>
    </w:p>
    <w:p w:rsidR="00862873" w:rsidRPr="00647B52" w:rsidRDefault="0057224F" w:rsidP="00647B52">
      <w:pPr>
        <w:pStyle w:val="a7"/>
        <w:spacing w:before="0" w:beforeAutospacing="0" w:after="0" w:afterAutospacing="0" w:line="580" w:lineRule="exact"/>
        <w:jc w:val="center"/>
        <w:rPr>
          <w:rStyle w:val="1Char"/>
          <w:rFonts w:ascii="仿宋_GB2312" w:eastAsia="仿宋_GB2312" w:hAnsi="微软雅黑"/>
          <w:bCs w:val="0"/>
          <w:spacing w:val="6"/>
          <w:kern w:val="0"/>
        </w:rPr>
      </w:pPr>
      <w:r w:rsidRPr="00647B52">
        <w:rPr>
          <w:rFonts w:ascii="黑体" w:eastAsia="黑体" w:hAnsi="黑体" w:hint="eastAsia"/>
          <w:sz w:val="44"/>
          <w:szCs w:val="44"/>
        </w:rPr>
        <w:t>第二部分 2021年度</w:t>
      </w:r>
      <w:r w:rsidRPr="00647B52">
        <w:rPr>
          <w:rStyle w:val="1Char"/>
          <w:rFonts w:ascii="黑体" w:eastAsia="黑体" w:hAnsi="黑体" w:hint="eastAsia"/>
          <w:b w:val="0"/>
        </w:rPr>
        <w:t>单位决算情况说明</w:t>
      </w:r>
      <w:bookmarkEnd w:id="17"/>
      <w:bookmarkEnd w:id="18"/>
    </w:p>
    <w:p w:rsidR="00862873" w:rsidRDefault="00862873"/>
    <w:p w:rsidR="00862873" w:rsidRDefault="0057224F">
      <w:pPr>
        <w:pStyle w:val="ab"/>
        <w:numPr>
          <w:ilvl w:val="0"/>
          <w:numId w:val="3"/>
        </w:numPr>
        <w:spacing w:line="600" w:lineRule="exact"/>
        <w:ind w:firstLineChars="0"/>
        <w:outlineLvl w:val="1"/>
        <w:rPr>
          <w:rStyle w:val="2Char"/>
          <w:rFonts w:ascii="黑体" w:eastAsia="黑体" w:hAnsi="黑体"/>
          <w:b w:val="0"/>
        </w:rPr>
      </w:pPr>
      <w:bookmarkStart w:id="19" w:name="_Toc15377205"/>
      <w:bookmarkStart w:id="20" w:name="_Toc15396603"/>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2021年度收、支总计220.63万元。与2020年相比，收、支总计各减少20.74万元，降低8.59%。主要变动原因是</w:t>
      </w:r>
      <w:r w:rsidRPr="00A727AB">
        <w:rPr>
          <w:rStyle w:val="a8"/>
          <w:rFonts w:ascii="仿宋_GB2312" w:eastAsia="仿宋_GB2312" w:hAnsi="仿宋" w:hint="eastAsia"/>
          <w:b w:val="0"/>
          <w:bCs/>
          <w:sz w:val="32"/>
          <w:szCs w:val="32"/>
        </w:rPr>
        <w:t>受疫情影响，工作计划有所调整，导致经费支出减少</w:t>
      </w:r>
      <w:r w:rsidRPr="00A727AB">
        <w:rPr>
          <w:rFonts w:ascii="仿宋_GB2312" w:eastAsia="仿宋_GB2312" w:hAnsi="仿宋" w:hint="eastAsia"/>
          <w:sz w:val="32"/>
          <w:szCs w:val="32"/>
        </w:rPr>
        <w:t>。</w:t>
      </w:r>
    </w:p>
    <w:p w:rsidR="00862873" w:rsidRDefault="00862873">
      <w:pPr>
        <w:spacing w:line="600" w:lineRule="exact"/>
        <w:ind w:firstLineChars="200" w:firstLine="420"/>
      </w:pPr>
    </w:p>
    <w:p w:rsidR="00862873" w:rsidRDefault="0057224F">
      <w:pPr>
        <w:pStyle w:val="a4"/>
        <w:spacing w:before="93"/>
      </w:pPr>
      <w:r>
        <w:rPr>
          <w:rFonts w:hint="eastAsia"/>
          <w:noProof/>
        </w:rPr>
        <w:drawing>
          <wp:inline distT="0" distB="0" distL="0" distR="0">
            <wp:extent cx="4874260" cy="2297430"/>
            <wp:effectExtent l="0" t="0" r="0" b="0"/>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（图1：收、支决算总计变动情况图）</w:t>
      </w:r>
    </w:p>
    <w:p w:rsidR="00862873" w:rsidRDefault="0057224F">
      <w:pPr>
        <w:pStyle w:val="ab"/>
        <w:numPr>
          <w:ilvl w:val="0"/>
          <w:numId w:val="3"/>
        </w:numPr>
        <w:spacing w:line="600" w:lineRule="exact"/>
        <w:ind w:firstLineChars="0"/>
        <w:outlineLvl w:val="1"/>
        <w:rPr>
          <w:rStyle w:val="2Char"/>
          <w:rFonts w:ascii="黑体" w:eastAsia="黑体" w:hAnsi="黑体"/>
          <w:b w:val="0"/>
        </w:rPr>
      </w:pPr>
      <w:bookmarkStart w:id="21" w:name="_Toc15396604"/>
      <w:bookmarkStart w:id="22"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rsidR="00862873" w:rsidRPr="00A727AB" w:rsidRDefault="0057224F">
      <w:pPr>
        <w:spacing w:line="600" w:lineRule="exact"/>
        <w:ind w:firstLineChars="200" w:firstLine="640"/>
        <w:outlineLvl w:val="1"/>
        <w:rPr>
          <w:rFonts w:ascii="仿宋_GB2312" w:eastAsia="仿宋_GB2312" w:hAnsi="仿宋"/>
          <w:sz w:val="32"/>
          <w:szCs w:val="32"/>
        </w:rPr>
      </w:pPr>
      <w:r w:rsidRPr="00A727AB">
        <w:rPr>
          <w:rFonts w:ascii="仿宋_GB2312" w:eastAsia="仿宋_GB2312" w:hAnsi="仿宋" w:hint="eastAsia"/>
          <w:sz w:val="32"/>
          <w:szCs w:val="32"/>
        </w:rPr>
        <w:t>2021年本年收入合计220.63万元，其中：一般公共预算财政拨款收入220.63万元，占100%；政府性基金预算财政拨款收入0万元，占0%；上级补助收入0万元，占0%；事业收入0万元，占0%；经营收入0万元，占0%；附属单位上缴收入0万元，占0%；其他收入0万元，占0%。</w:t>
      </w:r>
    </w:p>
    <w:p w:rsidR="00862873" w:rsidRDefault="0057224F">
      <w:pPr>
        <w:pStyle w:val="a4"/>
        <w:spacing w:before="93"/>
        <w:rPr>
          <w:rFonts w:ascii="仿宋" w:eastAsia="仿宋" w:hAnsi="仿宋"/>
          <w:sz w:val="32"/>
          <w:szCs w:val="32"/>
        </w:rPr>
      </w:pPr>
      <w:r>
        <w:rPr>
          <w:noProof/>
        </w:rPr>
        <w:lastRenderedPageBreak/>
        <w:drawing>
          <wp:inline distT="0" distB="0" distL="0" distR="0">
            <wp:extent cx="4619625"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（图2：收入决算结构图）</w:t>
      </w:r>
    </w:p>
    <w:p w:rsidR="00862873" w:rsidRDefault="0057224F">
      <w:pPr>
        <w:pStyle w:val="ab"/>
        <w:numPr>
          <w:ilvl w:val="0"/>
          <w:numId w:val="3"/>
        </w:numPr>
        <w:spacing w:line="600" w:lineRule="exact"/>
        <w:ind w:firstLineChars="0"/>
        <w:outlineLvl w:val="1"/>
        <w:rPr>
          <w:rStyle w:val="2Char"/>
          <w:rFonts w:ascii="黑体" w:eastAsia="黑体" w:hAnsi="黑体"/>
          <w:b w:val="0"/>
        </w:rPr>
      </w:pPr>
      <w:bookmarkStart w:id="23" w:name="_Toc15377207"/>
      <w:bookmarkStart w:id="24"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rsidR="00862873" w:rsidRPr="00A727AB" w:rsidRDefault="0057224F">
      <w:pPr>
        <w:spacing w:line="600" w:lineRule="exact"/>
        <w:ind w:firstLineChars="200" w:firstLine="640"/>
        <w:outlineLvl w:val="1"/>
        <w:rPr>
          <w:rFonts w:ascii="仿宋_GB2312" w:eastAsia="仿宋_GB2312" w:hAnsi="仿宋"/>
          <w:sz w:val="32"/>
          <w:szCs w:val="32"/>
        </w:rPr>
      </w:pPr>
      <w:r w:rsidRPr="00A727AB">
        <w:rPr>
          <w:rFonts w:ascii="仿宋_GB2312" w:eastAsia="仿宋_GB2312" w:hAnsi="仿宋" w:hint="eastAsia"/>
          <w:sz w:val="32"/>
          <w:szCs w:val="32"/>
        </w:rPr>
        <w:t>2021年本年支出合计220.63万元，其中：基本支出119.80万元，占54.30%；项目支出100.83万元，占45.70%；上缴上级支出0万元，占0%；经营支出0万元，占0%；对附属单位补助支出0万元，占0%。</w:t>
      </w:r>
    </w:p>
    <w:p w:rsidR="00862873" w:rsidRDefault="0057224F">
      <w:pPr>
        <w:pStyle w:val="a4"/>
        <w:spacing w:before="93"/>
      </w:pPr>
      <w:r>
        <w:rPr>
          <w:noProof/>
        </w:rPr>
        <w:drawing>
          <wp:inline distT="0" distB="0" distL="0" distR="0">
            <wp:extent cx="4276725" cy="279082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（图3：支出决算结构图）</w:t>
      </w:r>
    </w:p>
    <w:p w:rsidR="00862873" w:rsidRDefault="0057224F">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lastRenderedPageBreak/>
        <w:t>2021年财政拨款收、支总计220.63万元。与2020年相比，财政拨款收、支总计各减少20.74万元，降低8.59%。主要变动原因是</w:t>
      </w:r>
      <w:r w:rsidRPr="00A727AB">
        <w:rPr>
          <w:rStyle w:val="a8"/>
          <w:rFonts w:ascii="仿宋_GB2312" w:eastAsia="仿宋_GB2312" w:hAnsi="仿宋" w:hint="eastAsia"/>
          <w:b w:val="0"/>
          <w:bCs/>
          <w:sz w:val="32"/>
          <w:szCs w:val="32"/>
        </w:rPr>
        <w:t>受疫情影响，工作计划有所调整，导致经费支出减少</w:t>
      </w:r>
      <w:r w:rsidRPr="00A727AB">
        <w:rPr>
          <w:rFonts w:ascii="仿宋_GB2312" w:eastAsia="仿宋_GB2312" w:hAnsi="仿宋" w:hint="eastAsia"/>
          <w:sz w:val="32"/>
          <w:szCs w:val="32"/>
        </w:rPr>
        <w:t>。</w:t>
      </w:r>
    </w:p>
    <w:p w:rsidR="00862873" w:rsidRDefault="00862873">
      <w:pPr>
        <w:pStyle w:val="a4"/>
        <w:spacing w:before="93"/>
      </w:pPr>
    </w:p>
    <w:p w:rsidR="00862873" w:rsidRDefault="0057224F">
      <w:pPr>
        <w:pStyle w:val="a4"/>
        <w:spacing w:before="93"/>
      </w:pPr>
      <w:r>
        <w:rPr>
          <w:noProof/>
        </w:rPr>
        <w:drawing>
          <wp:inline distT="0" distB="0" distL="0" distR="0">
            <wp:extent cx="4286250" cy="279082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（图4：财政拨款收、支决算总计变动情况）</w:t>
      </w:r>
    </w:p>
    <w:p w:rsidR="00862873" w:rsidRDefault="0057224F">
      <w:pPr>
        <w:spacing w:line="600" w:lineRule="exact"/>
        <w:ind w:firstLineChars="200" w:firstLine="640"/>
        <w:outlineLvl w:val="1"/>
        <w:rPr>
          <w:rStyle w:val="2Char"/>
          <w:rFonts w:ascii="黑体" w:eastAsia="黑体" w:hAnsi="黑体"/>
          <w:b w:val="0"/>
        </w:rPr>
      </w:pPr>
      <w:bookmarkStart w:id="27" w:name="_Toc15377209"/>
      <w:bookmarkStart w:id="28"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862873" w:rsidRPr="00A727AB" w:rsidRDefault="0057224F" w:rsidP="0028093C">
      <w:pPr>
        <w:spacing w:line="600" w:lineRule="exact"/>
        <w:ind w:firstLineChars="200" w:firstLine="643"/>
        <w:outlineLvl w:val="2"/>
        <w:rPr>
          <w:rFonts w:ascii="仿宋_GB2312" w:eastAsia="仿宋_GB2312" w:hAnsi="仿宋"/>
          <w:b/>
          <w:sz w:val="32"/>
          <w:szCs w:val="32"/>
        </w:rPr>
      </w:pPr>
      <w:bookmarkStart w:id="29" w:name="_Toc15377210"/>
      <w:r w:rsidRPr="00A727AB">
        <w:rPr>
          <w:rFonts w:ascii="仿宋_GB2312" w:eastAsia="仿宋_GB2312" w:hAnsi="仿宋" w:hint="eastAsia"/>
          <w:b/>
          <w:sz w:val="32"/>
          <w:szCs w:val="32"/>
        </w:rPr>
        <w:t>（一）一般公共预算财政拨款支出决算总体情况</w:t>
      </w:r>
      <w:bookmarkEnd w:id="29"/>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2021年一般公共预算财政拨款支出220.63万元，占本年支出合计的100%。与2020年相比，一般公共预算财政拨款减少20.74万元，降低8.59%。主要变动原因是</w:t>
      </w:r>
      <w:r w:rsidRPr="00A727AB">
        <w:rPr>
          <w:rStyle w:val="a8"/>
          <w:rFonts w:ascii="仿宋_GB2312" w:eastAsia="仿宋_GB2312" w:hAnsi="仿宋" w:hint="eastAsia"/>
          <w:b w:val="0"/>
          <w:bCs/>
          <w:sz w:val="32"/>
          <w:szCs w:val="32"/>
        </w:rPr>
        <w:t>受疫情影响，工作计划有所调整，导致经费支出减少</w:t>
      </w:r>
      <w:r w:rsidRPr="00A727AB">
        <w:rPr>
          <w:rFonts w:ascii="仿宋_GB2312" w:eastAsia="仿宋_GB2312" w:hAnsi="仿宋" w:hint="eastAsia"/>
          <w:sz w:val="32"/>
          <w:szCs w:val="32"/>
        </w:rPr>
        <w:t>。</w:t>
      </w:r>
    </w:p>
    <w:p w:rsidR="00862873" w:rsidRDefault="00862873">
      <w:pPr>
        <w:spacing w:line="600" w:lineRule="exact"/>
        <w:ind w:firstLineChars="200" w:firstLine="420"/>
      </w:pPr>
    </w:p>
    <w:p w:rsidR="00862873" w:rsidRDefault="00862873">
      <w:pPr>
        <w:pStyle w:val="a4"/>
        <w:spacing w:before="93"/>
      </w:pPr>
    </w:p>
    <w:p w:rsidR="00862873" w:rsidRDefault="00862873">
      <w:pPr>
        <w:pStyle w:val="a4"/>
        <w:spacing w:before="93"/>
      </w:pPr>
    </w:p>
    <w:p w:rsidR="00862873" w:rsidRDefault="0057224F">
      <w:pPr>
        <w:pStyle w:val="a4"/>
        <w:spacing w:before="93"/>
      </w:pPr>
      <w:r>
        <w:rPr>
          <w:noProof/>
        </w:rPr>
        <w:drawing>
          <wp:inline distT="0" distB="0" distL="0" distR="0">
            <wp:extent cx="3546475" cy="22980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（图5：一般公共预算财政拨款支出决算变动情况）</w:t>
      </w:r>
    </w:p>
    <w:p w:rsidR="00862873" w:rsidRPr="00A727AB" w:rsidRDefault="0057224F" w:rsidP="0028093C">
      <w:pPr>
        <w:spacing w:line="600" w:lineRule="exact"/>
        <w:ind w:firstLineChars="200" w:firstLine="643"/>
        <w:outlineLvl w:val="2"/>
        <w:rPr>
          <w:rFonts w:ascii="仿宋_GB2312" w:eastAsia="仿宋_GB2312" w:hAnsi="仿宋"/>
          <w:b/>
          <w:sz w:val="32"/>
          <w:szCs w:val="32"/>
        </w:rPr>
      </w:pPr>
      <w:bookmarkStart w:id="30" w:name="_Toc15377211"/>
      <w:r w:rsidRPr="00A727AB">
        <w:rPr>
          <w:rFonts w:ascii="仿宋_GB2312" w:eastAsia="仿宋_GB2312" w:hAnsi="仿宋" w:hint="eastAsia"/>
          <w:b/>
          <w:sz w:val="32"/>
          <w:szCs w:val="32"/>
        </w:rPr>
        <w:t>（二）一般公共预算财政拨款支出决算结构情况</w:t>
      </w:r>
      <w:bookmarkEnd w:id="30"/>
    </w:p>
    <w:p w:rsidR="00862873" w:rsidRPr="00A727AB" w:rsidRDefault="0057224F">
      <w:pPr>
        <w:spacing w:line="600" w:lineRule="exact"/>
        <w:ind w:firstLine="640"/>
        <w:rPr>
          <w:rFonts w:ascii="仿宋_GB2312" w:eastAsia="仿宋_GB2312" w:hAnsi="仿宋"/>
          <w:b/>
          <w:sz w:val="32"/>
          <w:szCs w:val="32"/>
        </w:rPr>
      </w:pPr>
      <w:r w:rsidRPr="00A727AB">
        <w:rPr>
          <w:rFonts w:ascii="仿宋_GB2312" w:eastAsia="仿宋_GB2312" w:hAnsi="仿宋" w:hint="eastAsia"/>
          <w:sz w:val="32"/>
          <w:szCs w:val="32"/>
        </w:rPr>
        <w:t>2021年一般公共预算财政拨款支出220.63万元，主要用于以下方面:</w:t>
      </w:r>
      <w:r w:rsidRPr="00A727AB">
        <w:rPr>
          <w:rFonts w:ascii="仿宋_GB2312" w:eastAsia="仿宋_GB2312" w:hAnsi="仿宋" w:hint="eastAsia"/>
          <w:b/>
          <w:sz w:val="32"/>
          <w:szCs w:val="32"/>
        </w:rPr>
        <w:t>公共安全支出（类）</w:t>
      </w:r>
      <w:r w:rsidRPr="00A727AB">
        <w:rPr>
          <w:rFonts w:ascii="仿宋_GB2312" w:eastAsia="仿宋_GB2312" w:hAnsi="仿宋" w:hint="eastAsia"/>
          <w:sz w:val="32"/>
          <w:szCs w:val="32"/>
        </w:rPr>
        <w:t>支出187.7</w:t>
      </w:r>
      <w:r w:rsidR="003E74EF">
        <w:rPr>
          <w:rFonts w:ascii="仿宋_GB2312" w:eastAsia="仿宋_GB2312" w:hAnsi="仿宋" w:hint="eastAsia"/>
          <w:sz w:val="32"/>
          <w:szCs w:val="32"/>
        </w:rPr>
        <w:t>7</w:t>
      </w:r>
      <w:r w:rsidRPr="00A727AB">
        <w:rPr>
          <w:rFonts w:ascii="仿宋_GB2312" w:eastAsia="仿宋_GB2312" w:hAnsi="仿宋" w:hint="eastAsia"/>
          <w:sz w:val="32"/>
          <w:szCs w:val="32"/>
        </w:rPr>
        <w:t>万元，占85.11%；</w:t>
      </w:r>
      <w:r w:rsidRPr="00A727AB">
        <w:rPr>
          <w:rFonts w:ascii="仿宋_GB2312" w:eastAsia="仿宋_GB2312" w:hAnsi="仿宋" w:hint="eastAsia"/>
          <w:b/>
          <w:sz w:val="32"/>
          <w:szCs w:val="32"/>
        </w:rPr>
        <w:t>社会保障和就业支出（类）</w:t>
      </w:r>
      <w:r w:rsidRPr="00A727AB">
        <w:rPr>
          <w:rFonts w:ascii="仿宋_GB2312" w:eastAsia="仿宋_GB2312" w:hAnsi="仿宋" w:hint="eastAsia"/>
          <w:sz w:val="32"/>
          <w:szCs w:val="32"/>
        </w:rPr>
        <w:t>11.6</w:t>
      </w:r>
      <w:r w:rsidR="003E74EF">
        <w:rPr>
          <w:rFonts w:ascii="仿宋_GB2312" w:eastAsia="仿宋_GB2312" w:hAnsi="仿宋" w:hint="eastAsia"/>
          <w:sz w:val="32"/>
          <w:szCs w:val="32"/>
        </w:rPr>
        <w:t>6</w:t>
      </w:r>
      <w:r w:rsidRPr="00A727AB">
        <w:rPr>
          <w:rFonts w:ascii="仿宋_GB2312" w:eastAsia="仿宋_GB2312" w:hAnsi="仿宋" w:hint="eastAsia"/>
          <w:sz w:val="32"/>
          <w:szCs w:val="32"/>
        </w:rPr>
        <w:t>万元，占5.28%；</w:t>
      </w:r>
      <w:r w:rsidRPr="00A727AB">
        <w:rPr>
          <w:rFonts w:ascii="仿宋_GB2312" w:eastAsia="仿宋_GB2312" w:hAnsi="仿宋" w:hint="eastAsia"/>
          <w:b/>
          <w:sz w:val="32"/>
          <w:szCs w:val="32"/>
        </w:rPr>
        <w:t>卫生健康支出（类）</w:t>
      </w:r>
      <w:r w:rsidRPr="00A727AB">
        <w:rPr>
          <w:rFonts w:ascii="仿宋_GB2312" w:eastAsia="仿宋_GB2312" w:hAnsi="仿宋" w:hint="eastAsia"/>
          <w:sz w:val="32"/>
          <w:szCs w:val="32"/>
        </w:rPr>
        <w:t>支出6.14万元，占2.78%；</w:t>
      </w:r>
      <w:r w:rsidRPr="00A727AB">
        <w:rPr>
          <w:rFonts w:ascii="仿宋_GB2312" w:eastAsia="仿宋_GB2312" w:hAnsi="仿宋" w:hint="eastAsia"/>
          <w:b/>
          <w:bCs/>
          <w:sz w:val="32"/>
          <w:szCs w:val="32"/>
        </w:rPr>
        <w:t>住房保障支出（类）支出</w:t>
      </w:r>
      <w:r w:rsidRPr="003E74EF">
        <w:rPr>
          <w:rFonts w:ascii="仿宋_GB2312" w:eastAsia="仿宋_GB2312" w:hAnsi="仿宋" w:hint="eastAsia"/>
          <w:bCs/>
          <w:sz w:val="32"/>
          <w:szCs w:val="32"/>
        </w:rPr>
        <w:t>15.06万元，</w:t>
      </w:r>
      <w:r w:rsidRPr="00A727AB">
        <w:rPr>
          <w:rFonts w:ascii="仿宋_GB2312" w:eastAsia="仿宋_GB2312" w:hAnsi="仿宋" w:hint="eastAsia"/>
          <w:sz w:val="32"/>
          <w:szCs w:val="32"/>
        </w:rPr>
        <w:t>占6.83%。</w:t>
      </w:r>
    </w:p>
    <w:p w:rsidR="00862873" w:rsidRDefault="0057224F">
      <w:pPr>
        <w:pStyle w:val="a4"/>
        <w:spacing w:before="93"/>
      </w:pPr>
      <w:r>
        <w:rPr>
          <w:noProof/>
        </w:rPr>
        <w:drawing>
          <wp:inline distT="0" distB="0" distL="0" distR="0">
            <wp:extent cx="4397375" cy="246507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2873" w:rsidRPr="00A727AB" w:rsidRDefault="0057224F">
      <w:pPr>
        <w:spacing w:line="600" w:lineRule="exact"/>
        <w:ind w:firstLineChars="200" w:firstLine="640"/>
        <w:rPr>
          <w:rFonts w:ascii="仿宋_GB2312" w:eastAsia="仿宋_GB2312" w:hAnsi="仿宋"/>
          <w:sz w:val="32"/>
          <w:szCs w:val="32"/>
        </w:rPr>
      </w:pPr>
      <w:r w:rsidRPr="00A727AB">
        <w:rPr>
          <w:rFonts w:ascii="仿宋_GB2312" w:eastAsia="仿宋_GB2312" w:hAnsi="仿宋" w:hint="eastAsia"/>
          <w:sz w:val="32"/>
          <w:szCs w:val="32"/>
        </w:rPr>
        <w:t>（图6：一般公共预算财政拨款支出决算结构）</w:t>
      </w:r>
    </w:p>
    <w:p w:rsidR="00862873" w:rsidRPr="00A727AB" w:rsidRDefault="0057224F" w:rsidP="0028093C">
      <w:pPr>
        <w:spacing w:line="600" w:lineRule="exact"/>
        <w:ind w:firstLineChars="200" w:firstLine="643"/>
        <w:outlineLvl w:val="2"/>
        <w:rPr>
          <w:rFonts w:ascii="仿宋_GB2312" w:eastAsia="仿宋_GB2312" w:hAnsi="仿宋"/>
          <w:b/>
          <w:sz w:val="32"/>
          <w:szCs w:val="32"/>
        </w:rPr>
      </w:pPr>
      <w:bookmarkStart w:id="31" w:name="_Toc15377212"/>
      <w:r w:rsidRPr="00A727AB">
        <w:rPr>
          <w:rFonts w:ascii="仿宋_GB2312" w:eastAsia="仿宋_GB2312" w:hAnsi="仿宋" w:hint="eastAsia"/>
          <w:b/>
          <w:sz w:val="32"/>
          <w:szCs w:val="32"/>
        </w:rPr>
        <w:lastRenderedPageBreak/>
        <w:t>（三）一般公共预算财政拨款支出决算具体情况</w:t>
      </w:r>
      <w:bookmarkEnd w:id="31"/>
    </w:p>
    <w:p w:rsidR="00862873" w:rsidRPr="00A727AB" w:rsidRDefault="0057224F" w:rsidP="0028093C">
      <w:pPr>
        <w:spacing w:line="600" w:lineRule="exact"/>
        <w:ind w:firstLineChars="200" w:firstLine="643"/>
        <w:outlineLvl w:val="2"/>
        <w:rPr>
          <w:rFonts w:ascii="仿宋_GB2312" w:eastAsia="仿宋_GB2312" w:hAnsi="仿宋"/>
          <w:sz w:val="32"/>
          <w:szCs w:val="32"/>
        </w:rPr>
      </w:pPr>
      <w:bookmarkStart w:id="32" w:name="_Toc15378460"/>
      <w:bookmarkStart w:id="33" w:name="_Toc15377213"/>
      <w:bookmarkStart w:id="34" w:name="_Toc15377444"/>
      <w:r w:rsidRPr="00A727AB">
        <w:rPr>
          <w:rFonts w:ascii="仿宋_GB2312" w:eastAsia="仿宋_GB2312" w:hAnsi="仿宋" w:hint="eastAsia"/>
          <w:b/>
          <w:sz w:val="32"/>
          <w:szCs w:val="32"/>
        </w:rPr>
        <w:t>2021年一般公共预算支出决算数为220.63</w:t>
      </w:r>
      <w:r w:rsidR="006A3C7E">
        <w:rPr>
          <w:rFonts w:ascii="仿宋_GB2312" w:eastAsia="仿宋_GB2312" w:hAnsi="仿宋" w:hint="eastAsia"/>
          <w:b/>
          <w:sz w:val="32"/>
          <w:szCs w:val="32"/>
        </w:rPr>
        <w:t>万元</w:t>
      </w:r>
      <w:r w:rsidRPr="00A727AB">
        <w:rPr>
          <w:rFonts w:ascii="仿宋_GB2312" w:eastAsia="仿宋_GB2312" w:hAnsi="仿宋" w:hint="eastAsia"/>
          <w:sz w:val="32"/>
          <w:szCs w:val="32"/>
        </w:rPr>
        <w:t>，</w:t>
      </w:r>
      <w:r w:rsidRPr="00A727AB">
        <w:rPr>
          <w:rStyle w:val="a8"/>
          <w:rFonts w:ascii="仿宋_GB2312" w:eastAsia="仿宋_GB2312" w:hAnsi="仿宋" w:hint="eastAsia"/>
          <w:bCs/>
          <w:sz w:val="32"/>
          <w:szCs w:val="32"/>
        </w:rPr>
        <w:t>完成预算86.65%。其中：</w:t>
      </w:r>
      <w:bookmarkEnd w:id="32"/>
      <w:bookmarkEnd w:id="33"/>
      <w:bookmarkEnd w:id="34"/>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1.公共安全支出（类）公安（款）一般行政管理事务（项）:</w:t>
      </w:r>
      <w:r w:rsidRPr="00A727AB">
        <w:rPr>
          <w:rStyle w:val="a8"/>
          <w:rFonts w:ascii="仿宋_GB2312" w:eastAsia="仿宋_GB2312" w:hAnsi="仿宋" w:hint="eastAsia"/>
          <w:b w:val="0"/>
          <w:bCs/>
          <w:sz w:val="32"/>
          <w:szCs w:val="32"/>
        </w:rPr>
        <w:t xml:space="preserve"> 支出决算为100.83万元，完成预算88.45%，决算数小于预算数的主要原因是受疫情影响，工作计划有所调整，剩余经费财政收回。</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2. 公共安全支出（类）公安（款）事业运行（项）:</w:t>
      </w:r>
      <w:r w:rsidRPr="00A727AB">
        <w:rPr>
          <w:rStyle w:val="a8"/>
          <w:rFonts w:ascii="仿宋_GB2312" w:eastAsia="仿宋_GB2312" w:hAnsi="仿宋" w:hint="eastAsia"/>
          <w:b w:val="0"/>
          <w:bCs/>
          <w:sz w:val="32"/>
          <w:szCs w:val="32"/>
        </w:rPr>
        <w:t xml:space="preserve"> 支出决算为86.94万元，完成预算82.16%，决算数小于预算数的主要原因是受疫情影响，工作计划有所调整，剩余经费财政收回。</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3. 社会保障和就业支出（类）行政事业单位养老支出（款）机关事业单位基本养老保险缴费支出（项）：</w:t>
      </w:r>
      <w:r w:rsidRPr="00A727AB">
        <w:rPr>
          <w:rStyle w:val="a8"/>
          <w:rFonts w:ascii="仿宋_GB2312" w:eastAsia="仿宋_GB2312" w:hAnsi="仿宋" w:hint="eastAsia"/>
          <w:b w:val="0"/>
          <w:bCs/>
          <w:sz w:val="32"/>
          <w:szCs w:val="32"/>
        </w:rPr>
        <w:t xml:space="preserve"> 支出决算为7.77万元，完成预算99.61%，决算数小于预算数的主要原因是</w:t>
      </w:r>
      <w:r w:rsidR="00906F3E">
        <w:rPr>
          <w:rStyle w:val="a8"/>
          <w:rFonts w:ascii="仿宋_GB2312" w:eastAsia="仿宋_GB2312" w:hAnsi="仿宋" w:hint="eastAsia"/>
          <w:b w:val="0"/>
          <w:bCs/>
          <w:sz w:val="32"/>
          <w:szCs w:val="32"/>
        </w:rPr>
        <w:t>年初预算无法准确测算实际开支需要</w:t>
      </w:r>
      <w:r w:rsidRPr="00A727AB">
        <w:rPr>
          <w:rStyle w:val="a8"/>
          <w:rFonts w:ascii="仿宋_GB2312" w:eastAsia="仿宋_GB2312" w:hAnsi="仿宋" w:hint="eastAsia"/>
          <w:b w:val="0"/>
          <w:bCs/>
          <w:sz w:val="32"/>
          <w:szCs w:val="32"/>
        </w:rPr>
        <w:t>。</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4. 社会保障和就业支出（类）行政事业单位养老支出（款）机关事业单位职业年金缴费支出（项）：</w:t>
      </w:r>
      <w:r w:rsidRPr="00A727AB">
        <w:rPr>
          <w:rStyle w:val="a8"/>
          <w:rFonts w:ascii="仿宋_GB2312" w:eastAsia="仿宋_GB2312" w:hAnsi="仿宋" w:hint="eastAsia"/>
          <w:b w:val="0"/>
          <w:bCs/>
          <w:sz w:val="32"/>
          <w:szCs w:val="32"/>
        </w:rPr>
        <w:t xml:space="preserve"> 支出决算为3.88万元，完成预算77.70%，决算数小于预算数的主要原因</w:t>
      </w:r>
      <w:r w:rsidR="00906F3E" w:rsidRPr="00A727AB">
        <w:rPr>
          <w:rStyle w:val="a8"/>
          <w:rFonts w:ascii="仿宋_GB2312" w:eastAsia="仿宋_GB2312" w:hAnsi="仿宋" w:hint="eastAsia"/>
          <w:b w:val="0"/>
          <w:bCs/>
          <w:sz w:val="32"/>
          <w:szCs w:val="32"/>
        </w:rPr>
        <w:t>是</w:t>
      </w:r>
      <w:r w:rsidR="00906F3E">
        <w:rPr>
          <w:rStyle w:val="a8"/>
          <w:rFonts w:ascii="仿宋_GB2312" w:eastAsia="仿宋_GB2312" w:hAnsi="仿宋" w:hint="eastAsia"/>
          <w:b w:val="0"/>
          <w:bCs/>
          <w:sz w:val="32"/>
          <w:szCs w:val="32"/>
        </w:rPr>
        <w:t>年初预算无法准确测算实际开支需要</w:t>
      </w:r>
      <w:r w:rsidRPr="00A727AB">
        <w:rPr>
          <w:rStyle w:val="a8"/>
          <w:rFonts w:ascii="仿宋_GB2312" w:eastAsia="仿宋_GB2312" w:hAnsi="仿宋" w:hint="eastAsia"/>
          <w:b w:val="0"/>
          <w:bCs/>
          <w:sz w:val="32"/>
          <w:szCs w:val="32"/>
        </w:rPr>
        <w:t>。</w:t>
      </w: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5.</w:t>
      </w:r>
      <w:r w:rsidRPr="00A727AB">
        <w:rPr>
          <w:rStyle w:val="a8"/>
          <w:rFonts w:ascii="仿宋_GB2312" w:eastAsia="仿宋_GB2312" w:hint="eastAsia"/>
          <w:bCs/>
          <w:sz w:val="32"/>
          <w:szCs w:val="32"/>
        </w:rPr>
        <w:t xml:space="preserve"> </w:t>
      </w:r>
      <w:r w:rsidRPr="00A727AB">
        <w:rPr>
          <w:rStyle w:val="a8"/>
          <w:rFonts w:ascii="仿宋_GB2312" w:eastAsia="仿宋_GB2312" w:hAnsi="仿宋" w:hint="eastAsia"/>
          <w:bCs/>
          <w:sz w:val="32"/>
          <w:szCs w:val="32"/>
        </w:rPr>
        <w:t xml:space="preserve">卫生健康支出（类）行政事业单位医疗（款）事业单位医疗（项）: </w:t>
      </w:r>
      <w:r w:rsidRPr="00A727AB">
        <w:rPr>
          <w:rStyle w:val="a8"/>
          <w:rFonts w:ascii="仿宋_GB2312" w:eastAsia="仿宋_GB2312" w:hAnsi="仿宋" w:hint="eastAsia"/>
          <w:b w:val="0"/>
          <w:bCs/>
          <w:sz w:val="32"/>
          <w:szCs w:val="32"/>
        </w:rPr>
        <w:t>支出决算为6.14万元，完成预算99.11%，决算数小于预算数的主要原因</w:t>
      </w:r>
      <w:r w:rsidR="00906F3E" w:rsidRPr="00A727AB">
        <w:rPr>
          <w:rStyle w:val="a8"/>
          <w:rFonts w:ascii="仿宋_GB2312" w:eastAsia="仿宋_GB2312" w:hAnsi="仿宋" w:hint="eastAsia"/>
          <w:b w:val="0"/>
          <w:bCs/>
          <w:sz w:val="32"/>
          <w:szCs w:val="32"/>
        </w:rPr>
        <w:t>是</w:t>
      </w:r>
      <w:r w:rsidR="00906F3E">
        <w:rPr>
          <w:rStyle w:val="a8"/>
          <w:rFonts w:ascii="仿宋_GB2312" w:eastAsia="仿宋_GB2312" w:hAnsi="仿宋" w:hint="eastAsia"/>
          <w:b w:val="0"/>
          <w:bCs/>
          <w:sz w:val="32"/>
          <w:szCs w:val="32"/>
        </w:rPr>
        <w:t>年初预算无法准确测算实际开支需要</w:t>
      </w:r>
      <w:r w:rsidRPr="00A727AB">
        <w:rPr>
          <w:rStyle w:val="a8"/>
          <w:rFonts w:ascii="仿宋_GB2312" w:eastAsia="仿宋_GB2312" w:hAnsi="仿宋" w:hint="eastAsia"/>
          <w:b w:val="0"/>
          <w:bCs/>
          <w:sz w:val="32"/>
          <w:szCs w:val="32"/>
        </w:rPr>
        <w:t>。</w:t>
      </w:r>
    </w:p>
    <w:p w:rsidR="00862873" w:rsidRPr="00A727AB" w:rsidRDefault="00862873" w:rsidP="0028093C">
      <w:pPr>
        <w:spacing w:line="600" w:lineRule="exact"/>
        <w:ind w:firstLineChars="200" w:firstLine="643"/>
        <w:rPr>
          <w:rFonts w:ascii="仿宋_GB2312" w:eastAsia="仿宋_GB2312" w:hAnsi="仿宋"/>
          <w:b/>
          <w:sz w:val="32"/>
          <w:szCs w:val="32"/>
        </w:rPr>
      </w:pPr>
    </w:p>
    <w:p w:rsidR="00862873" w:rsidRPr="00A727AB" w:rsidRDefault="0057224F" w:rsidP="0028093C">
      <w:pPr>
        <w:spacing w:line="600" w:lineRule="exact"/>
        <w:ind w:firstLineChars="200" w:firstLine="643"/>
        <w:rPr>
          <w:rFonts w:ascii="仿宋_GB2312" w:eastAsia="仿宋_GB2312" w:hAnsi="仿宋"/>
          <w:b/>
          <w:sz w:val="32"/>
          <w:szCs w:val="32"/>
        </w:rPr>
      </w:pPr>
      <w:r w:rsidRPr="00A727AB">
        <w:rPr>
          <w:rStyle w:val="a8"/>
          <w:rFonts w:ascii="仿宋_GB2312" w:eastAsia="仿宋_GB2312" w:hAnsi="仿宋" w:hint="eastAsia"/>
          <w:bCs/>
          <w:sz w:val="32"/>
          <w:szCs w:val="32"/>
        </w:rPr>
        <w:t>6.</w:t>
      </w:r>
      <w:r w:rsidRPr="00A727AB">
        <w:rPr>
          <w:rStyle w:val="a8"/>
          <w:rFonts w:ascii="仿宋_GB2312" w:eastAsia="仿宋_GB2312" w:hint="eastAsia"/>
          <w:bCs/>
          <w:sz w:val="32"/>
          <w:szCs w:val="32"/>
        </w:rPr>
        <w:t xml:space="preserve"> </w:t>
      </w:r>
      <w:r w:rsidRPr="00A727AB">
        <w:rPr>
          <w:rStyle w:val="a8"/>
          <w:rFonts w:ascii="仿宋_GB2312" w:eastAsia="仿宋_GB2312" w:hAnsi="仿宋" w:hint="eastAsia"/>
          <w:bCs/>
          <w:sz w:val="32"/>
          <w:szCs w:val="32"/>
        </w:rPr>
        <w:t>住房保障支出（类）住房改革支出（款）住房公积金（项）:</w:t>
      </w:r>
      <w:r w:rsidRPr="00A727AB">
        <w:rPr>
          <w:rStyle w:val="a8"/>
          <w:rFonts w:ascii="仿宋_GB2312" w:eastAsia="仿宋_GB2312" w:hAnsi="仿宋" w:hint="eastAsia"/>
          <w:b w:val="0"/>
          <w:bCs/>
          <w:sz w:val="32"/>
          <w:szCs w:val="32"/>
        </w:rPr>
        <w:t>支出决算为9.67万元，完成预算93.01%，决算数小于预算数的主要原因</w:t>
      </w:r>
      <w:r w:rsidR="00906F3E" w:rsidRPr="00A727AB">
        <w:rPr>
          <w:rStyle w:val="a8"/>
          <w:rFonts w:ascii="仿宋_GB2312" w:eastAsia="仿宋_GB2312" w:hAnsi="仿宋" w:hint="eastAsia"/>
          <w:b w:val="0"/>
          <w:bCs/>
          <w:sz w:val="32"/>
          <w:szCs w:val="32"/>
        </w:rPr>
        <w:t>是</w:t>
      </w:r>
      <w:r w:rsidR="00906F3E">
        <w:rPr>
          <w:rStyle w:val="a8"/>
          <w:rFonts w:ascii="仿宋_GB2312" w:eastAsia="仿宋_GB2312" w:hAnsi="仿宋" w:hint="eastAsia"/>
          <w:b w:val="0"/>
          <w:bCs/>
          <w:sz w:val="32"/>
          <w:szCs w:val="32"/>
        </w:rPr>
        <w:t>年初预算无法准确测算实际开支需要</w:t>
      </w:r>
      <w:r w:rsidRPr="00A727AB">
        <w:rPr>
          <w:rStyle w:val="a8"/>
          <w:rFonts w:ascii="仿宋_GB2312" w:eastAsia="仿宋_GB2312" w:hAnsi="仿宋" w:hint="eastAsia"/>
          <w:b w:val="0"/>
          <w:bCs/>
          <w:sz w:val="32"/>
          <w:szCs w:val="32"/>
        </w:rPr>
        <w:t>。</w:t>
      </w:r>
    </w:p>
    <w:p w:rsidR="00862873" w:rsidRPr="00A727AB" w:rsidRDefault="0057224F" w:rsidP="0028093C">
      <w:pPr>
        <w:spacing w:line="600" w:lineRule="exact"/>
        <w:ind w:firstLineChars="200" w:firstLine="643"/>
        <w:rPr>
          <w:rStyle w:val="a8"/>
          <w:rFonts w:ascii="仿宋_GB2312" w:eastAsia="仿宋_GB2312"/>
          <w:bCs/>
        </w:rPr>
      </w:pPr>
      <w:r w:rsidRPr="00A727AB">
        <w:rPr>
          <w:rStyle w:val="a8"/>
          <w:rFonts w:ascii="仿宋_GB2312" w:eastAsia="仿宋_GB2312" w:hAnsi="仿宋" w:hint="eastAsia"/>
          <w:bCs/>
          <w:sz w:val="32"/>
          <w:szCs w:val="32"/>
        </w:rPr>
        <w:t>7.</w:t>
      </w:r>
      <w:r w:rsidRPr="00A727AB">
        <w:rPr>
          <w:rStyle w:val="a8"/>
          <w:rFonts w:ascii="仿宋_GB2312" w:eastAsia="仿宋_GB2312" w:hint="eastAsia"/>
          <w:bCs/>
          <w:sz w:val="32"/>
          <w:szCs w:val="32"/>
        </w:rPr>
        <w:t xml:space="preserve"> </w:t>
      </w:r>
      <w:r w:rsidRPr="00A727AB">
        <w:rPr>
          <w:rStyle w:val="a8"/>
          <w:rFonts w:ascii="仿宋_GB2312" w:eastAsia="仿宋_GB2312" w:hAnsi="仿宋" w:hint="eastAsia"/>
          <w:bCs/>
          <w:sz w:val="32"/>
          <w:szCs w:val="32"/>
        </w:rPr>
        <w:t>住房保障支出（类）住房改革支出（款）购房补贴（项）:</w:t>
      </w:r>
      <w:r w:rsidRPr="00A727AB">
        <w:rPr>
          <w:rStyle w:val="a8"/>
          <w:rFonts w:ascii="仿宋_GB2312" w:eastAsia="仿宋_GB2312" w:hAnsi="仿宋" w:hint="eastAsia"/>
          <w:b w:val="0"/>
          <w:bCs/>
          <w:sz w:val="32"/>
          <w:szCs w:val="32"/>
        </w:rPr>
        <w:t>支出决算为5.39万元，完成预算99.84%，</w:t>
      </w:r>
      <w:bookmarkStart w:id="35" w:name="_Toc15396608"/>
      <w:bookmarkStart w:id="36" w:name="_Toc15377214"/>
      <w:r w:rsidRPr="00A727AB">
        <w:rPr>
          <w:rStyle w:val="a8"/>
          <w:rFonts w:ascii="仿宋_GB2312" w:eastAsia="仿宋_GB2312" w:hAnsi="仿宋" w:hint="eastAsia"/>
          <w:b w:val="0"/>
          <w:bCs/>
          <w:sz w:val="32"/>
          <w:szCs w:val="32"/>
        </w:rPr>
        <w:t>决算数小于预算数的主要原因</w:t>
      </w:r>
      <w:r w:rsidR="00906F3E" w:rsidRPr="00A727AB">
        <w:rPr>
          <w:rStyle w:val="a8"/>
          <w:rFonts w:ascii="仿宋_GB2312" w:eastAsia="仿宋_GB2312" w:hAnsi="仿宋" w:hint="eastAsia"/>
          <w:b w:val="0"/>
          <w:bCs/>
          <w:sz w:val="32"/>
          <w:szCs w:val="32"/>
        </w:rPr>
        <w:t>是</w:t>
      </w:r>
      <w:r w:rsidR="00906F3E">
        <w:rPr>
          <w:rStyle w:val="a8"/>
          <w:rFonts w:ascii="仿宋_GB2312" w:eastAsia="仿宋_GB2312" w:hAnsi="仿宋" w:hint="eastAsia"/>
          <w:b w:val="0"/>
          <w:bCs/>
          <w:sz w:val="32"/>
          <w:szCs w:val="32"/>
        </w:rPr>
        <w:t>年初预算无法准确测算实际开支需要</w:t>
      </w:r>
      <w:r w:rsidRPr="00A727AB">
        <w:rPr>
          <w:rStyle w:val="a8"/>
          <w:rFonts w:ascii="仿宋_GB2312" w:eastAsia="仿宋_GB2312" w:hAnsi="仿宋" w:hint="eastAsia"/>
          <w:b w:val="0"/>
          <w:bCs/>
          <w:sz w:val="32"/>
          <w:szCs w:val="32"/>
        </w:rPr>
        <w:t>。</w:t>
      </w:r>
    </w:p>
    <w:p w:rsidR="00862873" w:rsidRDefault="0057224F">
      <w:pPr>
        <w:spacing w:line="600" w:lineRule="exact"/>
        <w:ind w:firstLineChars="200" w:firstLine="640"/>
        <w:rPr>
          <w:rStyle w:val="2Char"/>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862873" w:rsidRPr="00A727AB" w:rsidRDefault="0057224F">
      <w:pPr>
        <w:spacing w:line="600" w:lineRule="exact"/>
        <w:ind w:firstLine="645"/>
        <w:rPr>
          <w:rFonts w:ascii="仿宋_GB2312" w:eastAsia="仿宋_GB2312" w:hAnsi="仿宋"/>
          <w:sz w:val="32"/>
          <w:szCs w:val="32"/>
        </w:rPr>
      </w:pPr>
      <w:r w:rsidRPr="00A727AB">
        <w:rPr>
          <w:rFonts w:ascii="仿宋_GB2312" w:eastAsia="仿宋_GB2312" w:hAnsi="仿宋" w:hint="eastAsia"/>
          <w:sz w:val="32"/>
          <w:szCs w:val="32"/>
        </w:rPr>
        <w:t>2021年一般公共预算财政拨款基本支出119.80万元，其中：</w:t>
      </w:r>
    </w:p>
    <w:p w:rsidR="00862873" w:rsidRPr="00A727AB" w:rsidRDefault="0057224F">
      <w:pPr>
        <w:spacing w:line="600" w:lineRule="exact"/>
        <w:ind w:firstLine="645"/>
        <w:rPr>
          <w:rFonts w:ascii="仿宋_GB2312" w:eastAsia="仿宋_GB2312" w:hAnsi="仿宋"/>
          <w:sz w:val="32"/>
          <w:szCs w:val="32"/>
        </w:rPr>
      </w:pPr>
      <w:r w:rsidRPr="00A727AB">
        <w:rPr>
          <w:rFonts w:ascii="仿宋_GB2312" w:eastAsia="仿宋_GB2312" w:hAnsi="仿宋" w:hint="eastAsia"/>
          <w:sz w:val="32"/>
          <w:szCs w:val="32"/>
        </w:rPr>
        <w:t>人员经费94.82万元，主要包括：基本工资、津贴补贴、绩效工资、机关事业单位基本养老保险缴费、职业年金缴费、职工基本医疗保险缴费、其他社会保障缴费、住房公积金、其他工资福利支出等。</w:t>
      </w:r>
      <w:r w:rsidRPr="00A727AB">
        <w:rPr>
          <w:rFonts w:ascii="仿宋_GB2312" w:eastAsia="仿宋_GB2312" w:hAnsi="仿宋" w:hint="eastAsia"/>
          <w:sz w:val="32"/>
          <w:szCs w:val="32"/>
        </w:rPr>
        <w:br/>
        <w:t xml:space="preserve">　　公用经费24.98万元，主要包括：办公费、手续费、邮电费、物业管理费、差旅费、维修（护）费、劳务费、工会经费、福利费、其他商品和服务支出等。</w:t>
      </w:r>
    </w:p>
    <w:p w:rsidR="00862873" w:rsidRDefault="0057224F">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862873" w:rsidRPr="00A727AB" w:rsidRDefault="0057224F">
      <w:pPr>
        <w:spacing w:line="600" w:lineRule="exact"/>
        <w:ind w:firstLine="640"/>
        <w:outlineLvl w:val="2"/>
        <w:rPr>
          <w:rFonts w:ascii="仿宋_GB2312" w:eastAsia="仿宋_GB2312" w:hAnsi="仿宋"/>
          <w:b/>
          <w:sz w:val="32"/>
          <w:szCs w:val="32"/>
        </w:rPr>
      </w:pPr>
      <w:bookmarkStart w:id="39" w:name="_Toc15377216"/>
      <w:r w:rsidRPr="00A727AB">
        <w:rPr>
          <w:rFonts w:ascii="仿宋_GB2312" w:eastAsia="仿宋_GB2312" w:hAnsi="仿宋" w:hint="eastAsia"/>
          <w:b/>
          <w:sz w:val="32"/>
          <w:szCs w:val="32"/>
        </w:rPr>
        <w:t>（一）“三公”经费财政拨款支出决算总体情况说明</w:t>
      </w:r>
      <w:bookmarkEnd w:id="39"/>
    </w:p>
    <w:p w:rsidR="00862873" w:rsidRPr="00A727AB" w:rsidRDefault="0057224F">
      <w:pPr>
        <w:spacing w:line="600" w:lineRule="exact"/>
        <w:ind w:firstLine="640"/>
        <w:rPr>
          <w:rFonts w:ascii="仿宋_GB2312" w:eastAsia="仿宋_GB2312" w:hAnsi="仿宋"/>
          <w:sz w:val="32"/>
          <w:szCs w:val="32"/>
        </w:rPr>
      </w:pPr>
      <w:r w:rsidRPr="00A727AB">
        <w:rPr>
          <w:rFonts w:ascii="仿宋_GB2312" w:eastAsia="仿宋_GB2312" w:hAnsi="仿宋" w:hint="eastAsia"/>
          <w:sz w:val="32"/>
          <w:szCs w:val="32"/>
        </w:rPr>
        <w:t>2021年“三公”经费财政拨款支出决算为0万元，完成预算0%，与2020年持平</w:t>
      </w:r>
      <w:r w:rsidR="00096C79">
        <w:rPr>
          <w:rFonts w:ascii="仿宋_GB2312" w:eastAsia="仿宋_GB2312" w:hAnsi="仿宋" w:hint="eastAsia"/>
          <w:sz w:val="32"/>
          <w:szCs w:val="32"/>
        </w:rPr>
        <w:t>,主要原因是本单位未安排“三公”</w:t>
      </w:r>
      <w:r w:rsidR="00096C79">
        <w:rPr>
          <w:rFonts w:ascii="仿宋_GB2312" w:eastAsia="仿宋_GB2312" w:hAnsi="仿宋" w:hint="eastAsia"/>
          <w:sz w:val="32"/>
          <w:szCs w:val="32"/>
        </w:rPr>
        <w:lastRenderedPageBreak/>
        <w:t>经费预算</w:t>
      </w:r>
      <w:r w:rsidRPr="00A727AB">
        <w:rPr>
          <w:rFonts w:ascii="仿宋_GB2312" w:eastAsia="仿宋_GB2312" w:hAnsi="仿宋" w:hint="eastAsia"/>
          <w:sz w:val="32"/>
          <w:szCs w:val="32"/>
        </w:rPr>
        <w:t>。</w:t>
      </w:r>
    </w:p>
    <w:p w:rsidR="00862873" w:rsidRPr="00A727AB" w:rsidRDefault="0057224F">
      <w:pPr>
        <w:spacing w:line="600" w:lineRule="exact"/>
        <w:ind w:firstLine="640"/>
        <w:outlineLvl w:val="2"/>
        <w:rPr>
          <w:rFonts w:ascii="仿宋_GB2312" w:eastAsia="仿宋_GB2312" w:hAnsi="仿宋"/>
          <w:b/>
          <w:sz w:val="32"/>
          <w:szCs w:val="32"/>
        </w:rPr>
      </w:pPr>
      <w:bookmarkStart w:id="40" w:name="_Toc15377217"/>
      <w:r w:rsidRPr="00A727AB">
        <w:rPr>
          <w:rFonts w:ascii="仿宋_GB2312" w:eastAsia="仿宋_GB2312" w:hAnsi="仿宋" w:hint="eastAsia"/>
          <w:b/>
          <w:sz w:val="32"/>
          <w:szCs w:val="32"/>
        </w:rPr>
        <w:t>（二）“三公”经费财政拨款支出决算具体情况说明</w:t>
      </w:r>
      <w:bookmarkEnd w:id="40"/>
    </w:p>
    <w:p w:rsidR="00862873" w:rsidRPr="00A727AB" w:rsidRDefault="0057224F">
      <w:pPr>
        <w:spacing w:line="600" w:lineRule="exact"/>
        <w:ind w:firstLine="640"/>
        <w:rPr>
          <w:rFonts w:ascii="仿宋_GB2312" w:eastAsia="仿宋_GB2312" w:hAnsi="仿宋"/>
          <w:sz w:val="32"/>
          <w:szCs w:val="32"/>
        </w:rPr>
      </w:pPr>
      <w:r w:rsidRPr="00A727AB">
        <w:rPr>
          <w:rFonts w:ascii="仿宋_GB2312" w:eastAsia="仿宋_GB2312" w:hAnsi="仿宋" w:hint="eastAsia"/>
          <w:sz w:val="32"/>
          <w:szCs w:val="32"/>
        </w:rPr>
        <w:t>2021年“三公”经费财政拨款支出决算中，因公出国（境）费支出决算0万元，占0%；公务用车购置及运行维护费支出决算0万元，占0%；公务接待费支出决算0万元，占0%。具体情况如下：</w:t>
      </w:r>
    </w:p>
    <w:p w:rsidR="00862873" w:rsidRDefault="0057224F">
      <w:pPr>
        <w:pStyle w:val="a4"/>
        <w:spacing w:before="93"/>
      </w:pPr>
      <w:r>
        <w:rPr>
          <w:noProof/>
        </w:rPr>
        <w:drawing>
          <wp:inline distT="0" distB="0" distL="0" distR="0">
            <wp:extent cx="3736975" cy="218630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2873" w:rsidRPr="00A727AB" w:rsidRDefault="0057224F">
      <w:pPr>
        <w:spacing w:line="600" w:lineRule="exact"/>
        <w:ind w:firstLine="640"/>
        <w:rPr>
          <w:rFonts w:ascii="仿宋_GB2312" w:eastAsia="仿宋_GB2312" w:hAnsi="仿宋"/>
          <w:sz w:val="32"/>
          <w:szCs w:val="32"/>
        </w:rPr>
      </w:pPr>
      <w:r w:rsidRPr="00A727AB">
        <w:rPr>
          <w:rFonts w:ascii="仿宋_GB2312" w:eastAsia="仿宋_GB2312" w:hAnsi="仿宋" w:hint="eastAsia"/>
          <w:sz w:val="32"/>
          <w:szCs w:val="32"/>
        </w:rPr>
        <w:t>（图7：“三公”经费财政拨款支出结构）</w:t>
      </w:r>
    </w:p>
    <w:p w:rsidR="00862873" w:rsidRPr="00A727AB" w:rsidRDefault="0057224F">
      <w:pPr>
        <w:spacing w:line="600" w:lineRule="exact"/>
        <w:ind w:firstLine="640"/>
        <w:rPr>
          <w:rFonts w:ascii="仿宋_GB2312" w:eastAsia="仿宋_GB2312"/>
          <w:sz w:val="32"/>
          <w:szCs w:val="32"/>
        </w:rPr>
      </w:pPr>
      <w:r w:rsidRPr="00A727AB">
        <w:rPr>
          <w:rFonts w:ascii="仿宋_GB2312" w:eastAsia="仿宋_GB2312" w:hint="eastAsia"/>
          <w:b/>
          <w:sz w:val="32"/>
          <w:szCs w:val="32"/>
        </w:rPr>
        <w:t>1.因公出国（境）经费支出</w:t>
      </w:r>
      <w:r w:rsidRPr="00A727AB">
        <w:rPr>
          <w:rFonts w:ascii="仿宋_GB2312" w:eastAsia="仿宋_GB2312" w:hint="eastAsia"/>
          <w:sz w:val="32"/>
          <w:szCs w:val="32"/>
        </w:rPr>
        <w:t>0万元，</w:t>
      </w:r>
      <w:r w:rsidRPr="00A727AB">
        <w:rPr>
          <w:rStyle w:val="a8"/>
          <w:rFonts w:ascii="仿宋_GB2312" w:eastAsia="仿宋_GB2312" w:hAnsi="仿宋" w:hint="eastAsia"/>
          <w:b w:val="0"/>
          <w:bCs/>
          <w:sz w:val="32"/>
          <w:szCs w:val="32"/>
        </w:rPr>
        <w:t>与上年相比无变化。</w:t>
      </w:r>
      <w:r w:rsidRPr="00A727AB">
        <w:rPr>
          <w:rFonts w:ascii="仿宋_GB2312" w:eastAsia="仿宋_GB2312" w:hint="eastAsia"/>
          <w:sz w:val="32"/>
          <w:szCs w:val="32"/>
        </w:rPr>
        <w:t>全年安排因公出国（境）团组0次，出国（境）0人。</w:t>
      </w:r>
    </w:p>
    <w:p w:rsidR="00862873" w:rsidRPr="00A727AB" w:rsidRDefault="0057224F">
      <w:pPr>
        <w:spacing w:line="600" w:lineRule="exact"/>
        <w:ind w:firstLine="640"/>
        <w:rPr>
          <w:rFonts w:ascii="仿宋_GB2312" w:eastAsia="仿宋_GB2312"/>
          <w:b/>
          <w:sz w:val="32"/>
          <w:szCs w:val="32"/>
        </w:rPr>
      </w:pPr>
      <w:r w:rsidRPr="00A727AB">
        <w:rPr>
          <w:rFonts w:ascii="仿宋_GB2312" w:eastAsia="仿宋_GB2312" w:hint="eastAsia"/>
          <w:b/>
          <w:sz w:val="32"/>
          <w:szCs w:val="32"/>
        </w:rPr>
        <w:t>2.公务用车购置及运行维护费支出</w:t>
      </w:r>
      <w:r w:rsidRPr="00A727AB">
        <w:rPr>
          <w:rFonts w:ascii="仿宋_GB2312" w:eastAsia="仿宋_GB2312" w:hint="eastAsia"/>
          <w:sz w:val="32"/>
          <w:szCs w:val="32"/>
        </w:rPr>
        <w:t>0万元,</w:t>
      </w:r>
      <w:r w:rsidRPr="00A727AB">
        <w:rPr>
          <w:rStyle w:val="a8"/>
          <w:rFonts w:ascii="仿宋_GB2312" w:eastAsia="仿宋_GB2312" w:hAnsi="仿宋" w:hint="eastAsia"/>
          <w:b w:val="0"/>
          <w:bCs/>
          <w:sz w:val="32"/>
          <w:szCs w:val="32"/>
        </w:rPr>
        <w:t xml:space="preserve"> 与上年相比无变化。</w:t>
      </w:r>
    </w:p>
    <w:p w:rsidR="00862873" w:rsidRPr="00A727AB" w:rsidRDefault="0057224F">
      <w:pPr>
        <w:spacing w:line="600" w:lineRule="exact"/>
        <w:ind w:firstLineChars="200" w:firstLine="640"/>
        <w:rPr>
          <w:rFonts w:ascii="仿宋_GB2312" w:eastAsia="仿宋_GB2312"/>
          <w:b/>
          <w:sz w:val="32"/>
          <w:szCs w:val="32"/>
        </w:rPr>
      </w:pPr>
      <w:r w:rsidRPr="00A727AB">
        <w:rPr>
          <w:rFonts w:ascii="仿宋_GB2312" w:eastAsia="仿宋_GB2312" w:hint="eastAsia"/>
          <w:sz w:val="32"/>
          <w:szCs w:val="32"/>
        </w:rPr>
        <w:t>其中：</w:t>
      </w:r>
      <w:r w:rsidRPr="00A727AB">
        <w:rPr>
          <w:rFonts w:ascii="仿宋_GB2312" w:eastAsia="仿宋_GB2312" w:hint="eastAsia"/>
          <w:b/>
          <w:sz w:val="32"/>
          <w:szCs w:val="32"/>
        </w:rPr>
        <w:t>公务用车购置支出</w:t>
      </w:r>
      <w:r w:rsidRPr="00A727AB">
        <w:rPr>
          <w:rFonts w:ascii="仿宋_GB2312" w:eastAsia="仿宋_GB2312" w:hint="eastAsia"/>
          <w:sz w:val="32"/>
          <w:szCs w:val="32"/>
        </w:rPr>
        <w:t>0万元。全年按规定更新购置公务用车0辆，其中：轿车0辆、金额0万元，越野车0辆、金额0万元，载客汽车0辆、金额0万元。截至2021年12月底，单位共有公务用车0辆，其中：轿车0辆、越野车0辆、载客汽车0辆。</w:t>
      </w:r>
    </w:p>
    <w:p w:rsidR="00862873" w:rsidRPr="00A727AB" w:rsidRDefault="0057224F">
      <w:pPr>
        <w:spacing w:line="600" w:lineRule="exact"/>
        <w:ind w:firstLine="640"/>
        <w:rPr>
          <w:rFonts w:ascii="仿宋_GB2312" w:eastAsia="仿宋_GB2312"/>
          <w:sz w:val="32"/>
          <w:szCs w:val="32"/>
        </w:rPr>
      </w:pPr>
      <w:r w:rsidRPr="00A727AB">
        <w:rPr>
          <w:rFonts w:ascii="仿宋_GB2312" w:eastAsia="仿宋_GB2312" w:hint="eastAsia"/>
          <w:b/>
          <w:sz w:val="32"/>
          <w:szCs w:val="32"/>
        </w:rPr>
        <w:lastRenderedPageBreak/>
        <w:t>公务用车运行维护费支出</w:t>
      </w:r>
      <w:r w:rsidRPr="00A727AB">
        <w:rPr>
          <w:rFonts w:ascii="仿宋_GB2312" w:eastAsia="仿宋_GB2312" w:hint="eastAsia"/>
          <w:sz w:val="32"/>
          <w:szCs w:val="32"/>
        </w:rPr>
        <w:t>0万元。</w:t>
      </w:r>
    </w:p>
    <w:p w:rsidR="00862873" w:rsidRPr="00A727AB" w:rsidRDefault="0057224F">
      <w:pPr>
        <w:spacing w:line="600" w:lineRule="exact"/>
        <w:ind w:firstLine="640"/>
        <w:rPr>
          <w:rFonts w:ascii="仿宋_GB2312" w:eastAsia="仿宋_GB2312"/>
          <w:sz w:val="32"/>
          <w:szCs w:val="32"/>
        </w:rPr>
      </w:pPr>
      <w:r w:rsidRPr="00A727AB">
        <w:rPr>
          <w:rFonts w:ascii="仿宋_GB2312" w:eastAsia="仿宋_GB2312" w:hint="eastAsia"/>
          <w:b/>
          <w:sz w:val="32"/>
          <w:szCs w:val="32"/>
        </w:rPr>
        <w:t>3.公务接待费支出0</w:t>
      </w:r>
      <w:r w:rsidRPr="00A727AB">
        <w:rPr>
          <w:rFonts w:ascii="仿宋_GB2312" w:eastAsia="仿宋_GB2312" w:hint="eastAsia"/>
          <w:sz w:val="32"/>
          <w:szCs w:val="32"/>
        </w:rPr>
        <w:t>万元，</w:t>
      </w:r>
      <w:r w:rsidR="006A3C7E" w:rsidRPr="00AA2E61">
        <w:rPr>
          <w:rFonts w:ascii="仿宋_GB2312" w:eastAsia="仿宋_GB2312" w:hint="eastAsia"/>
          <w:sz w:val="32"/>
          <w:szCs w:val="32"/>
        </w:rPr>
        <w:t>完成预算0%</w:t>
      </w:r>
      <w:r w:rsidR="006A3C7E">
        <w:rPr>
          <w:rFonts w:ascii="仿宋_GB2312" w:eastAsia="仿宋_GB2312" w:hint="eastAsia"/>
          <w:sz w:val="32"/>
          <w:szCs w:val="32"/>
        </w:rPr>
        <w:t>，</w:t>
      </w:r>
      <w:r w:rsidR="006A3C7E">
        <w:rPr>
          <w:rFonts w:ascii="仿宋_GB2312" w:eastAsia="仿宋_GB2312" w:hAnsi="仿宋" w:hint="eastAsia"/>
          <w:sz w:val="32"/>
          <w:szCs w:val="32"/>
        </w:rPr>
        <w:t>与</w:t>
      </w:r>
      <w:r w:rsidR="00C4599B" w:rsidRPr="00A727AB">
        <w:rPr>
          <w:rStyle w:val="a8"/>
          <w:rFonts w:ascii="仿宋_GB2312" w:eastAsia="仿宋_GB2312" w:hAnsi="仿宋" w:hint="eastAsia"/>
          <w:b w:val="0"/>
          <w:bCs/>
          <w:sz w:val="32"/>
          <w:szCs w:val="32"/>
        </w:rPr>
        <w:t>上年相比无变化</w:t>
      </w:r>
      <w:r w:rsidRPr="00A727AB">
        <w:rPr>
          <w:rStyle w:val="a8"/>
          <w:rFonts w:ascii="仿宋_GB2312" w:eastAsia="仿宋_GB2312" w:hAnsi="仿宋" w:hint="eastAsia"/>
          <w:b w:val="0"/>
          <w:bCs/>
          <w:sz w:val="32"/>
          <w:szCs w:val="32"/>
        </w:rPr>
        <w:t>。</w:t>
      </w:r>
      <w:r w:rsidRPr="00A727AB">
        <w:rPr>
          <w:rFonts w:ascii="仿宋_GB2312" w:eastAsia="仿宋_GB2312" w:hint="eastAsia"/>
          <w:sz w:val="32"/>
          <w:szCs w:val="32"/>
        </w:rPr>
        <w:t>其中：</w:t>
      </w:r>
    </w:p>
    <w:p w:rsidR="00862873" w:rsidRPr="006A3C7E" w:rsidRDefault="0057224F" w:rsidP="006A3C7E">
      <w:pPr>
        <w:spacing w:line="600" w:lineRule="exact"/>
        <w:ind w:firstLine="640"/>
        <w:rPr>
          <w:rFonts w:ascii="仿宋_GB2312" w:eastAsia="仿宋_GB2312"/>
          <w:sz w:val="32"/>
          <w:szCs w:val="32"/>
        </w:rPr>
      </w:pPr>
      <w:r w:rsidRPr="00A727AB">
        <w:rPr>
          <w:rFonts w:ascii="仿宋_GB2312" w:eastAsia="仿宋_GB2312" w:hAnsi="仿宋" w:hint="eastAsia"/>
          <w:b/>
          <w:sz w:val="32"/>
          <w:szCs w:val="32"/>
        </w:rPr>
        <w:t>国内公务接待支出0</w:t>
      </w:r>
      <w:r w:rsidRPr="00A727AB">
        <w:rPr>
          <w:rFonts w:ascii="仿宋_GB2312" w:eastAsia="仿宋_GB2312" w:hint="eastAsia"/>
          <w:sz w:val="32"/>
          <w:szCs w:val="32"/>
        </w:rPr>
        <w:t xml:space="preserve">万元， </w:t>
      </w:r>
      <w:r w:rsidR="006A3C7E" w:rsidRPr="006A3C7E">
        <w:rPr>
          <w:rFonts w:ascii="仿宋_GB2312" w:eastAsia="仿宋_GB2312" w:hint="eastAsia"/>
          <w:sz w:val="32"/>
          <w:szCs w:val="32"/>
        </w:rPr>
        <w:t>国内公务接待0批次，0人，共计支出0万元。</w:t>
      </w:r>
    </w:p>
    <w:p w:rsidR="00862873" w:rsidRPr="00A727AB" w:rsidRDefault="0057224F" w:rsidP="0028093C">
      <w:pPr>
        <w:spacing w:line="600" w:lineRule="exact"/>
        <w:ind w:firstLineChars="200" w:firstLine="643"/>
        <w:rPr>
          <w:rFonts w:ascii="仿宋_GB2312" w:eastAsia="仿宋_GB2312"/>
          <w:sz w:val="32"/>
          <w:szCs w:val="32"/>
        </w:rPr>
      </w:pPr>
      <w:r w:rsidRPr="00A727AB">
        <w:rPr>
          <w:rFonts w:ascii="仿宋_GB2312" w:eastAsia="仿宋_GB2312" w:hAnsi="仿宋" w:hint="eastAsia"/>
          <w:b/>
          <w:sz w:val="32"/>
          <w:szCs w:val="32"/>
        </w:rPr>
        <w:t>外事接待支出</w:t>
      </w:r>
      <w:r w:rsidRPr="00A727AB">
        <w:rPr>
          <w:rFonts w:ascii="仿宋_GB2312" w:eastAsia="仿宋_GB2312" w:hAnsi="仿宋" w:hint="eastAsia"/>
          <w:sz w:val="32"/>
          <w:szCs w:val="32"/>
        </w:rPr>
        <w:t>0</w:t>
      </w:r>
      <w:r w:rsidRPr="00A727AB">
        <w:rPr>
          <w:rFonts w:ascii="仿宋_GB2312" w:eastAsia="仿宋_GB2312" w:hint="eastAsia"/>
          <w:sz w:val="32"/>
          <w:szCs w:val="32"/>
        </w:rPr>
        <w:t>万元，外事接待0批次，0人，共计支出0万元。</w:t>
      </w:r>
    </w:p>
    <w:p w:rsidR="00862873" w:rsidRDefault="0057224F">
      <w:pPr>
        <w:spacing w:line="600" w:lineRule="exact"/>
        <w:ind w:firstLine="640"/>
        <w:outlineLvl w:val="1"/>
        <w:rPr>
          <w:rStyle w:val="2Char"/>
          <w:rFonts w:ascii="黑体" w:eastAsia="黑体" w:hAnsi="黑体"/>
        </w:rPr>
      </w:pPr>
      <w:bookmarkStart w:id="41" w:name="_Toc15396610"/>
      <w:bookmarkStart w:id="42"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862873" w:rsidRDefault="0057224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862873" w:rsidRDefault="0057224F">
      <w:pPr>
        <w:numPr>
          <w:ilvl w:val="0"/>
          <w:numId w:val="4"/>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862873" w:rsidRDefault="0057224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862873" w:rsidRDefault="0057224F">
      <w:pPr>
        <w:numPr>
          <w:ilvl w:val="0"/>
          <w:numId w:val="4"/>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rsidR="00862873" w:rsidRPr="00A727AB" w:rsidRDefault="0057224F" w:rsidP="0028093C">
      <w:pPr>
        <w:spacing w:line="600" w:lineRule="exact"/>
        <w:ind w:firstLineChars="200" w:firstLine="643"/>
        <w:outlineLvl w:val="2"/>
        <w:rPr>
          <w:rFonts w:ascii="仿宋_GB2312" w:eastAsia="仿宋_GB2312" w:hAnsi="仿宋"/>
          <w:sz w:val="32"/>
          <w:szCs w:val="32"/>
        </w:rPr>
      </w:pPr>
      <w:bookmarkStart w:id="47" w:name="_Toc15377222"/>
      <w:r w:rsidRPr="00A727AB">
        <w:rPr>
          <w:rFonts w:ascii="仿宋_GB2312" w:eastAsia="仿宋_GB2312" w:hAnsi="仿宋" w:hint="eastAsia"/>
          <w:b/>
          <w:sz w:val="32"/>
          <w:szCs w:val="32"/>
        </w:rPr>
        <w:t>（一）机关运行经费支出情况</w:t>
      </w:r>
      <w:bookmarkEnd w:id="47"/>
    </w:p>
    <w:p w:rsidR="00862873" w:rsidRPr="00A727AB" w:rsidRDefault="0057224F">
      <w:pPr>
        <w:spacing w:line="600" w:lineRule="exact"/>
        <w:ind w:firstLineChars="200" w:firstLine="640"/>
        <w:rPr>
          <w:rFonts w:ascii="仿宋_GB2312" w:eastAsia="仿宋_GB2312"/>
          <w:sz w:val="32"/>
          <w:szCs w:val="32"/>
        </w:rPr>
      </w:pPr>
      <w:r w:rsidRPr="00A727AB">
        <w:rPr>
          <w:rFonts w:ascii="仿宋_GB2312" w:eastAsia="仿宋_GB2312" w:hint="eastAsia"/>
          <w:sz w:val="32"/>
          <w:szCs w:val="32"/>
        </w:rPr>
        <w:t>四川正道文化传播中心是公益一类事业单位，机关运行经费支出</w:t>
      </w:r>
      <w:r w:rsidR="008660C2">
        <w:rPr>
          <w:rFonts w:ascii="仿宋_GB2312" w:eastAsia="仿宋_GB2312" w:hint="eastAsia"/>
          <w:sz w:val="32"/>
          <w:szCs w:val="32"/>
        </w:rPr>
        <w:t>为零，与上年持平</w:t>
      </w:r>
      <w:r w:rsidRPr="00A727AB">
        <w:rPr>
          <w:rFonts w:ascii="仿宋_GB2312" w:eastAsia="仿宋_GB2312" w:hint="eastAsia"/>
          <w:sz w:val="32"/>
          <w:szCs w:val="32"/>
        </w:rPr>
        <w:t>。</w:t>
      </w:r>
    </w:p>
    <w:p w:rsidR="00862873" w:rsidRPr="00A727AB" w:rsidRDefault="0057224F" w:rsidP="0028093C">
      <w:pPr>
        <w:autoSpaceDE w:val="0"/>
        <w:autoSpaceDN w:val="0"/>
        <w:adjustRightInd w:val="0"/>
        <w:spacing w:line="600" w:lineRule="exact"/>
        <w:ind w:firstLineChars="200" w:firstLine="643"/>
        <w:jc w:val="left"/>
        <w:outlineLvl w:val="2"/>
        <w:rPr>
          <w:rFonts w:ascii="仿宋_GB2312" w:eastAsia="仿宋_GB2312" w:hAnsi="仿宋"/>
          <w:b/>
          <w:sz w:val="32"/>
          <w:szCs w:val="32"/>
        </w:rPr>
      </w:pPr>
      <w:bookmarkStart w:id="48" w:name="_Toc15377223"/>
      <w:r w:rsidRPr="00A727AB">
        <w:rPr>
          <w:rFonts w:ascii="仿宋_GB2312" w:eastAsia="仿宋_GB2312" w:hAnsi="仿宋" w:hint="eastAsia"/>
          <w:b/>
          <w:sz w:val="32"/>
          <w:szCs w:val="32"/>
        </w:rPr>
        <w:t>（二）政府采购支出情况</w:t>
      </w:r>
      <w:bookmarkEnd w:id="48"/>
    </w:p>
    <w:p w:rsidR="00862873" w:rsidRPr="00A727AB" w:rsidRDefault="0057224F">
      <w:pPr>
        <w:spacing w:line="600" w:lineRule="exact"/>
        <w:ind w:firstLineChars="200" w:firstLine="640"/>
        <w:rPr>
          <w:rFonts w:ascii="仿宋_GB2312" w:eastAsia="仿宋_GB2312"/>
          <w:sz w:val="32"/>
          <w:szCs w:val="32"/>
        </w:rPr>
      </w:pPr>
      <w:r w:rsidRPr="00A727AB">
        <w:rPr>
          <w:rFonts w:ascii="仿宋_GB2312" w:eastAsia="仿宋_GB2312" w:hint="eastAsia"/>
          <w:sz w:val="32"/>
          <w:szCs w:val="32"/>
        </w:rPr>
        <w:t>2021年，四川正道文化传播中心政府采购支出总额6.65万元，其中：政府采购货物支出6.65万元、政府采购工程支出0万元、政府采购服务支出0万元。授予中小企业合同金额0万元，占政府采购支出总额的0%，其中：授予小微企业合同金额0万元，占政府采购支出总额的0%。</w:t>
      </w:r>
    </w:p>
    <w:p w:rsidR="00862873" w:rsidRPr="00A727AB" w:rsidRDefault="0057224F" w:rsidP="0028093C">
      <w:pPr>
        <w:autoSpaceDE w:val="0"/>
        <w:autoSpaceDN w:val="0"/>
        <w:adjustRightInd w:val="0"/>
        <w:spacing w:line="600" w:lineRule="exact"/>
        <w:ind w:firstLineChars="200" w:firstLine="643"/>
        <w:jc w:val="left"/>
        <w:outlineLvl w:val="2"/>
        <w:rPr>
          <w:rFonts w:ascii="仿宋_GB2312" w:eastAsia="仿宋_GB2312" w:hAnsi="仿宋"/>
          <w:b/>
          <w:sz w:val="32"/>
          <w:szCs w:val="32"/>
        </w:rPr>
      </w:pPr>
      <w:bookmarkStart w:id="49" w:name="_Toc15377224"/>
      <w:r w:rsidRPr="00A727AB">
        <w:rPr>
          <w:rFonts w:ascii="仿宋_GB2312" w:eastAsia="仿宋_GB2312" w:hAnsi="仿宋" w:hint="eastAsia"/>
          <w:b/>
          <w:sz w:val="32"/>
          <w:szCs w:val="32"/>
        </w:rPr>
        <w:t>（三）国有资产占有使用情况</w:t>
      </w:r>
      <w:bookmarkEnd w:id="49"/>
    </w:p>
    <w:p w:rsidR="00862873" w:rsidRPr="00A727AB" w:rsidRDefault="0057224F">
      <w:pPr>
        <w:autoSpaceDE w:val="0"/>
        <w:autoSpaceDN w:val="0"/>
        <w:adjustRightInd w:val="0"/>
        <w:spacing w:line="600" w:lineRule="exact"/>
        <w:ind w:firstLineChars="200" w:firstLine="640"/>
        <w:jc w:val="left"/>
        <w:rPr>
          <w:rFonts w:ascii="仿宋_GB2312" w:eastAsia="仿宋_GB2312"/>
          <w:sz w:val="32"/>
          <w:szCs w:val="32"/>
        </w:rPr>
      </w:pPr>
      <w:r w:rsidRPr="00A727AB">
        <w:rPr>
          <w:rFonts w:ascii="仿宋_GB2312" w:eastAsia="仿宋_GB2312" w:hint="eastAsia"/>
          <w:sz w:val="32"/>
          <w:szCs w:val="32"/>
        </w:rPr>
        <w:t>截至2021年12月31日，四川正道文化传播中心共有车辆</w:t>
      </w:r>
      <w:r w:rsidRPr="00A727AB">
        <w:rPr>
          <w:rFonts w:ascii="仿宋_GB2312" w:eastAsia="仿宋_GB2312" w:hint="eastAsia"/>
          <w:sz w:val="32"/>
          <w:szCs w:val="32"/>
        </w:rPr>
        <w:lastRenderedPageBreak/>
        <w:t>0辆，其中：主要领导干部用车0辆、机要通信用车0辆、应急保障用车0辆、其他用车0辆。单价50万元以上通用设备0台（套），单价100万元以上专用设备0台（套）。</w:t>
      </w:r>
    </w:p>
    <w:p w:rsidR="00862873" w:rsidRPr="00A727AB" w:rsidRDefault="0057224F" w:rsidP="0028093C">
      <w:pPr>
        <w:autoSpaceDE w:val="0"/>
        <w:autoSpaceDN w:val="0"/>
        <w:adjustRightInd w:val="0"/>
        <w:spacing w:line="600" w:lineRule="exact"/>
        <w:ind w:firstLineChars="200" w:firstLine="643"/>
        <w:jc w:val="left"/>
        <w:outlineLvl w:val="2"/>
        <w:rPr>
          <w:rFonts w:ascii="仿宋_GB2312" w:eastAsia="仿宋_GB2312" w:hAnsi="仿宋"/>
          <w:b/>
          <w:sz w:val="32"/>
          <w:szCs w:val="32"/>
        </w:rPr>
      </w:pPr>
      <w:r w:rsidRPr="00A727AB">
        <w:rPr>
          <w:rFonts w:ascii="仿宋_GB2312" w:eastAsia="仿宋_GB2312" w:hAnsi="仿宋" w:hint="eastAsia"/>
          <w:b/>
          <w:sz w:val="32"/>
          <w:szCs w:val="32"/>
        </w:rPr>
        <w:t>（四）预算绩效管理情况</w:t>
      </w:r>
    </w:p>
    <w:p w:rsidR="00862873" w:rsidRPr="00A727AB" w:rsidRDefault="0057224F">
      <w:pPr>
        <w:spacing w:line="580" w:lineRule="exact"/>
        <w:ind w:firstLineChars="200" w:firstLine="640"/>
        <w:rPr>
          <w:rFonts w:ascii="仿宋_GB2312" w:eastAsia="仿宋_GB2312"/>
        </w:rPr>
      </w:pPr>
      <w:r w:rsidRPr="00A727AB">
        <w:rPr>
          <w:rFonts w:ascii="仿宋_GB2312" w:eastAsia="仿宋_GB2312" w:hint="eastAsia"/>
          <w:sz w:val="32"/>
          <w:szCs w:val="32"/>
        </w:rPr>
        <w:t>四川正道文化传播中心2021年未安排</w:t>
      </w:r>
      <w:r w:rsidRPr="00A727AB">
        <w:rPr>
          <w:rFonts w:ascii="仿宋_GB2312" w:eastAsia="仿宋_GB2312" w:hAnsi="仿宋_GB2312" w:cs="仿宋_GB2312" w:hint="eastAsia"/>
          <w:sz w:val="32"/>
          <w:szCs w:val="32"/>
        </w:rPr>
        <w:t>特定目标类部门预算项目，故不涉及预算绩效管理相关情况，单位整体预算绩效纳入省委政法委统一管理。</w:t>
      </w: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E91D5B" w:rsidRDefault="00E91D5B">
      <w:pPr>
        <w:pStyle w:val="a4"/>
        <w:spacing w:before="93"/>
      </w:pPr>
    </w:p>
    <w:p w:rsidR="00E91D5B" w:rsidRDefault="00E91D5B">
      <w:pPr>
        <w:pStyle w:val="a4"/>
        <w:spacing w:before="93"/>
      </w:pPr>
    </w:p>
    <w:p w:rsidR="00E91D5B" w:rsidRDefault="00E91D5B">
      <w:pPr>
        <w:pStyle w:val="a4"/>
        <w:spacing w:before="93"/>
      </w:pPr>
    </w:p>
    <w:p w:rsidR="00E91D5B" w:rsidRDefault="00E91D5B">
      <w:pPr>
        <w:pStyle w:val="a4"/>
        <w:spacing w:before="93"/>
      </w:pPr>
    </w:p>
    <w:p w:rsidR="00862873" w:rsidRDefault="0057224F">
      <w:pPr>
        <w:numPr>
          <w:ilvl w:val="0"/>
          <w:numId w:val="5"/>
        </w:numPr>
        <w:spacing w:line="600" w:lineRule="exact"/>
        <w:ind w:firstLineChars="150" w:firstLine="660"/>
        <w:jc w:val="center"/>
        <w:outlineLvl w:val="0"/>
        <w:rPr>
          <w:rStyle w:val="1Char"/>
          <w:rFonts w:ascii="黑体" w:eastAsia="黑体" w:hAnsi="黑体"/>
          <w:b w:val="0"/>
        </w:rPr>
      </w:pPr>
      <w:bookmarkStart w:id="50" w:name="_Toc15377225"/>
      <w:bookmarkStart w:id="51" w:name="_Toc15396613"/>
      <w:r>
        <w:rPr>
          <w:rFonts w:ascii="黑体" w:eastAsia="黑体" w:hAnsi="黑体" w:hint="eastAsia"/>
          <w:color w:val="000000"/>
          <w:sz w:val="44"/>
          <w:szCs w:val="44"/>
        </w:rPr>
        <w:t>名</w:t>
      </w:r>
      <w:r>
        <w:rPr>
          <w:rStyle w:val="1Char"/>
          <w:rFonts w:ascii="黑体" w:eastAsia="黑体" w:hAnsi="黑体" w:hint="eastAsia"/>
          <w:b w:val="0"/>
        </w:rPr>
        <w:t>词解释</w:t>
      </w:r>
      <w:bookmarkEnd w:id="50"/>
      <w:bookmarkEnd w:id="51"/>
    </w:p>
    <w:p w:rsidR="00862873" w:rsidRDefault="00862873">
      <w:pPr>
        <w:spacing w:line="600" w:lineRule="exact"/>
        <w:jc w:val="left"/>
        <w:rPr>
          <w:rFonts w:ascii="宋体"/>
          <w:b/>
          <w:color w:val="000000"/>
          <w:sz w:val="44"/>
          <w:szCs w:val="44"/>
        </w:rPr>
      </w:pPr>
    </w:p>
    <w:p w:rsidR="00862873" w:rsidRDefault="0057224F">
      <w:pPr>
        <w:pStyle w:val="Default"/>
        <w:spacing w:line="580" w:lineRule="exact"/>
        <w:ind w:firstLineChars="200" w:firstLine="640"/>
        <w:jc w:val="both"/>
        <w:rPr>
          <w:rFonts w:ascii="仿宋_GB2312" w:eastAsia="仿宋_GB2312"/>
          <w:sz w:val="32"/>
          <w:szCs w:val="32"/>
        </w:rPr>
      </w:pPr>
      <w:bookmarkStart w:id="52" w:name="_Toc15396614"/>
      <w:bookmarkStart w:id="53" w:name="_Toc15377226"/>
      <w:r>
        <w:rPr>
          <w:rFonts w:ascii="仿宋_GB2312" w:eastAsia="仿宋_GB2312" w:hint="eastAsia"/>
          <w:sz w:val="32"/>
          <w:szCs w:val="32"/>
        </w:rPr>
        <w:t>1．财政拨款收入：指单位从同级财政部门取得的财政预算资金。</w:t>
      </w:r>
    </w:p>
    <w:p w:rsidR="00862873" w:rsidRDefault="0057224F">
      <w:pPr>
        <w:pStyle w:val="Default"/>
        <w:spacing w:line="580" w:lineRule="exact"/>
        <w:ind w:firstLineChars="200" w:firstLine="640"/>
        <w:jc w:val="both"/>
        <w:rPr>
          <w:rFonts w:ascii="仿宋_GB2312" w:eastAsia="仿宋_GB2312"/>
          <w:sz w:val="32"/>
          <w:szCs w:val="32"/>
        </w:rPr>
      </w:pPr>
      <w:r>
        <w:rPr>
          <w:rFonts w:ascii="仿宋_GB2312" w:eastAsia="仿宋_GB2312" w:hint="eastAsia"/>
          <w:sz w:val="32"/>
          <w:szCs w:val="32"/>
        </w:rPr>
        <w:t>2．事业收入：指事业单位开展专业业务活动及辅助活动取得的收入。</w:t>
      </w:r>
    </w:p>
    <w:p w:rsidR="00862873" w:rsidRDefault="0057224F">
      <w:pPr>
        <w:pStyle w:val="Default"/>
        <w:spacing w:line="58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3．公共安全支出（类）公安（款）事业运行（项）:指主要用于在职在编人员基本工资、津贴补贴，保障机关正常运转的日常公用支出。</w:t>
      </w:r>
      <w:r>
        <w:rPr>
          <w:rFonts w:ascii="仿宋_GB2312" w:eastAsia="仿宋_GB2312" w:cs="Times New Roman" w:hint="eastAsia"/>
          <w:sz w:val="32"/>
          <w:szCs w:val="32"/>
        </w:rPr>
        <w:br/>
      </w:r>
      <w:r>
        <w:rPr>
          <w:rFonts w:ascii="仿宋_GB2312" w:eastAsia="仿宋_GB2312" w:cs="仿宋_GB2312" w:hint="eastAsia"/>
          <w:sz w:val="32"/>
          <w:szCs w:val="32"/>
        </w:rPr>
        <w:t xml:space="preserve">　　4．公共安全支出（类）公安（款）一般行政管理事务（项）:指主要用于</w:t>
      </w:r>
      <w:r>
        <w:rPr>
          <w:rFonts w:ascii="仿宋_GB2312" w:eastAsia="仿宋_GB2312" w:hAnsi="仿宋_GB2312" w:cs="仿宋_GB2312" w:hint="eastAsia"/>
          <w:sz w:val="32"/>
          <w:szCs w:val="32"/>
        </w:rPr>
        <w:t>新媒体宣传工作、新媒体网军联盟建设工作和信息化运行维护等。</w:t>
      </w:r>
      <w:r>
        <w:rPr>
          <w:rFonts w:ascii="仿宋_GB2312" w:eastAsia="仿宋_GB2312" w:cs="仿宋_GB2312" w:hint="eastAsia"/>
          <w:sz w:val="32"/>
          <w:szCs w:val="32"/>
        </w:rPr>
        <w:t xml:space="preserve">　　</w:t>
      </w:r>
    </w:p>
    <w:p w:rsidR="00862873" w:rsidRDefault="0057224F">
      <w:pPr>
        <w:pStyle w:val="Default"/>
        <w:spacing w:line="58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5．社会保障和就业支出（类）行政事业单位养老支出（款）机关事业单位基本养老保险缴费支出（项）:指主要用于单位基本养老保险缴费。</w:t>
      </w:r>
      <w:r>
        <w:rPr>
          <w:rFonts w:ascii="仿宋_GB2312" w:eastAsia="仿宋_GB2312" w:cs="Times New Roman" w:hint="eastAsia"/>
          <w:sz w:val="32"/>
          <w:szCs w:val="32"/>
        </w:rPr>
        <w:br/>
      </w:r>
      <w:r>
        <w:rPr>
          <w:rFonts w:ascii="仿宋_GB2312" w:eastAsia="仿宋_GB2312" w:cs="仿宋_GB2312" w:hint="eastAsia"/>
          <w:sz w:val="32"/>
          <w:szCs w:val="32"/>
        </w:rPr>
        <w:t xml:space="preserve">　　6．社会保障和就业支出（类）行政事业单位养老支出（款）机关事业单位职业年金缴费支出（项）:指主要用于单位职业年金缴费。</w:t>
      </w:r>
    </w:p>
    <w:p w:rsidR="00862873" w:rsidRDefault="0057224F">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7．卫生健康支出（类）行政事业单位医疗（款）行政单位医疗（项）：指主要用于单位基本医疗保险缴费经费。</w:t>
      </w:r>
      <w:r>
        <w:rPr>
          <w:rFonts w:ascii="仿宋_GB2312" w:eastAsia="仿宋_GB2312" w:cs="Times New Roman" w:hint="eastAsia"/>
          <w:sz w:val="32"/>
          <w:szCs w:val="32"/>
        </w:rPr>
        <w:br/>
      </w:r>
      <w:r>
        <w:rPr>
          <w:rFonts w:ascii="仿宋_GB2312" w:eastAsia="仿宋_GB2312" w:cs="仿宋_GB2312" w:hint="eastAsia"/>
          <w:sz w:val="32"/>
          <w:szCs w:val="32"/>
        </w:rPr>
        <w:t xml:space="preserve">　　8．卫生健康支出（类）行政事业单位医疗（款）公务员医疗补助（项）:指用于单位公务员医疗补助经费。</w:t>
      </w:r>
      <w:r>
        <w:rPr>
          <w:rFonts w:ascii="仿宋_GB2312" w:eastAsia="仿宋_GB2312" w:cs="Times New Roman" w:hint="eastAsia"/>
          <w:sz w:val="32"/>
          <w:szCs w:val="32"/>
        </w:rPr>
        <w:br/>
      </w:r>
      <w:r>
        <w:rPr>
          <w:rFonts w:ascii="仿宋_GB2312" w:eastAsia="仿宋_GB2312" w:cs="仿宋_GB2312" w:hint="eastAsia"/>
          <w:sz w:val="32"/>
          <w:szCs w:val="32"/>
        </w:rPr>
        <w:lastRenderedPageBreak/>
        <w:t xml:space="preserve">　　9．住房保障支出（类）住房改革支出（款）住房公积金（项）:指按照相关政策规定比例为个人缴纳的住房公积金。</w:t>
      </w:r>
      <w:r>
        <w:rPr>
          <w:rFonts w:ascii="仿宋_GB2312" w:eastAsia="仿宋_GB2312" w:cs="Times New Roman" w:hint="eastAsia"/>
          <w:sz w:val="32"/>
          <w:szCs w:val="32"/>
        </w:rPr>
        <w:br/>
      </w:r>
      <w:r>
        <w:rPr>
          <w:rFonts w:ascii="仿宋_GB2312" w:eastAsia="仿宋_GB2312" w:cs="仿宋_GB2312" w:hint="eastAsia"/>
          <w:sz w:val="32"/>
          <w:szCs w:val="32"/>
        </w:rPr>
        <w:t xml:space="preserve">　　10．住房保障支出（类）住房改革支出（款）购房补贴（项）:指按照相关政策规定，向符合条件的个人发放的用于购买住房的补贴。</w:t>
      </w:r>
    </w:p>
    <w:p w:rsidR="00862873" w:rsidRDefault="0057224F">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11．基本支出：指为保障机构正常运转、完成日常工作任务而发生的人员支出和公用支出。</w:t>
      </w:r>
    </w:p>
    <w:p w:rsidR="00862873" w:rsidRDefault="0057224F">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12．项目支出：指在基本支出之外为完成特定行政任务和事业发展目标所发生的支出。 </w:t>
      </w:r>
    </w:p>
    <w:p w:rsidR="00862873" w:rsidRDefault="0057224F">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13．机关运行经费：指为保障行政单位运行用于购买货物和服务的各项资金，包括办公及印刷费、邮电费、差旅费、劳务费、工会经费、福利费及其他商品和服务支出。</w:t>
      </w: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862873" w:rsidRDefault="00862873">
      <w:pPr>
        <w:spacing w:line="600" w:lineRule="exact"/>
        <w:jc w:val="center"/>
        <w:outlineLvl w:val="0"/>
        <w:rPr>
          <w:rFonts w:ascii="黑体" w:eastAsia="黑体" w:hAnsi="黑体"/>
          <w:color w:val="000000"/>
          <w:sz w:val="44"/>
          <w:szCs w:val="44"/>
        </w:rPr>
      </w:pPr>
    </w:p>
    <w:p w:rsidR="00CD1F01" w:rsidRDefault="00CD1F01" w:rsidP="00CD1F01">
      <w:pPr>
        <w:pStyle w:val="a0"/>
      </w:pPr>
    </w:p>
    <w:p w:rsidR="00CD1F01" w:rsidRDefault="00CD1F01" w:rsidP="00CD1F01">
      <w:pPr>
        <w:pStyle w:val="a0"/>
      </w:pPr>
    </w:p>
    <w:p w:rsidR="00CD1F01" w:rsidRDefault="00CD1F01" w:rsidP="00CD1F01">
      <w:pPr>
        <w:pStyle w:val="a0"/>
      </w:pPr>
    </w:p>
    <w:p w:rsidR="00CD1F01" w:rsidRDefault="00CD1F01" w:rsidP="00CD1F01">
      <w:pPr>
        <w:pStyle w:val="a0"/>
      </w:pPr>
    </w:p>
    <w:p w:rsidR="00CD1F01" w:rsidRDefault="00CD1F01" w:rsidP="00CD1F01">
      <w:pPr>
        <w:pStyle w:val="a0"/>
      </w:pPr>
    </w:p>
    <w:p w:rsidR="00CD1F01" w:rsidRDefault="00CD1F01" w:rsidP="00CD1F01">
      <w:pPr>
        <w:pStyle w:val="a0"/>
      </w:pPr>
    </w:p>
    <w:p w:rsidR="00CD1F01" w:rsidRDefault="00CD1F01" w:rsidP="00CD1F01">
      <w:pPr>
        <w:pStyle w:val="a0"/>
      </w:pPr>
    </w:p>
    <w:p w:rsidR="00CD1F01" w:rsidRPr="00CD1F01" w:rsidRDefault="00CD1F01" w:rsidP="00CD1F01">
      <w:pPr>
        <w:pStyle w:val="a0"/>
      </w:pPr>
    </w:p>
    <w:p w:rsidR="00862873" w:rsidRDefault="0057224F">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2"/>
    </w:p>
    <w:p w:rsidR="00862873" w:rsidRDefault="0057224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r w:rsidR="00E8049E">
        <w:rPr>
          <w:rFonts w:ascii="仿宋_GB2312" w:eastAsia="仿宋_GB2312" w:hAnsi="仿宋_GB2312" w:cs="仿宋_GB2312" w:hint="eastAsia"/>
          <w:sz w:val="32"/>
          <w:szCs w:val="32"/>
        </w:rPr>
        <w:t>内容</w:t>
      </w:r>
    </w:p>
    <w:p w:rsidR="00862873" w:rsidRDefault="00862873">
      <w:pPr>
        <w:pStyle w:val="a4"/>
        <w:spacing w:before="93"/>
      </w:pPr>
      <w:bookmarkStart w:id="54" w:name="_Toc15396618"/>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862873">
      <w:pPr>
        <w:pStyle w:val="a4"/>
        <w:spacing w:before="93"/>
      </w:pPr>
    </w:p>
    <w:p w:rsidR="00862873" w:rsidRDefault="0057224F">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5" w:name="_Toc15396619"/>
      <w:bookmarkEnd w:id="53"/>
      <w:bookmarkEnd w:id="54"/>
    </w:p>
    <w:p w:rsidR="00862873" w:rsidRDefault="0057224F">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862873" w:rsidRDefault="0057224F">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862873" w:rsidRDefault="0057224F">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862873" w:rsidRDefault="0057224F">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8"/>
    </w:p>
    <w:p w:rsidR="00862873" w:rsidRDefault="0057224F">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0" w:name="_Toc15396624"/>
      <w:bookmarkEnd w:id="59"/>
    </w:p>
    <w:p w:rsidR="00862873" w:rsidRDefault="0057224F">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0"/>
    </w:p>
    <w:p w:rsidR="00862873" w:rsidRDefault="0057224F">
      <w:pPr>
        <w:pStyle w:val="2"/>
        <w:rPr>
          <w:rFonts w:ascii="仿宋" w:eastAsia="仿宋" w:hAnsi="仿宋"/>
          <w:color w:val="000000"/>
        </w:rPr>
      </w:pPr>
      <w:bookmarkStart w:id="6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1"/>
    </w:p>
    <w:p w:rsidR="00862873" w:rsidRDefault="0057224F">
      <w:pPr>
        <w:pStyle w:val="2"/>
        <w:rPr>
          <w:rFonts w:ascii="仿宋" w:eastAsia="仿宋" w:hAnsi="仿宋"/>
          <w:color w:val="000000"/>
        </w:rPr>
      </w:pPr>
      <w:bookmarkStart w:id="6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2"/>
    </w:p>
    <w:p w:rsidR="00862873" w:rsidRDefault="0057224F">
      <w:pPr>
        <w:pStyle w:val="2"/>
        <w:rPr>
          <w:rFonts w:ascii="仿宋" w:eastAsia="仿宋" w:hAnsi="仿宋"/>
          <w:color w:val="000000"/>
        </w:rPr>
      </w:pPr>
      <w:bookmarkStart w:id="6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3"/>
    </w:p>
    <w:p w:rsidR="00862873" w:rsidRDefault="0057224F">
      <w:pPr>
        <w:pStyle w:val="2"/>
        <w:rPr>
          <w:rFonts w:ascii="仿宋" w:eastAsia="仿宋" w:hAnsi="仿宋"/>
          <w:color w:val="000000"/>
        </w:rPr>
      </w:pPr>
      <w:bookmarkStart w:id="6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4"/>
    </w:p>
    <w:p w:rsidR="00862873" w:rsidRDefault="0057224F">
      <w:pPr>
        <w:pStyle w:val="2"/>
        <w:rPr>
          <w:rFonts w:ascii="仿宋" w:eastAsia="仿宋" w:hAnsi="仿宋"/>
          <w:color w:val="000000"/>
        </w:rPr>
      </w:pPr>
      <w:bookmarkStart w:id="6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5"/>
    </w:p>
    <w:p w:rsidR="00862873" w:rsidRDefault="0057224F">
      <w:pPr>
        <w:pStyle w:val="2"/>
        <w:rPr>
          <w:rFonts w:ascii="仿宋" w:eastAsia="仿宋" w:hAnsi="仿宋"/>
          <w:color w:val="000000"/>
        </w:rPr>
      </w:pPr>
      <w:bookmarkStart w:id="6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6"/>
    </w:p>
    <w:p w:rsidR="00862873" w:rsidRDefault="0057224F">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7"/>
    </w:p>
    <w:p w:rsidR="00862873" w:rsidRDefault="0057224F">
      <w:pPr>
        <w:rPr>
          <w:rFonts w:eastAsia="仿宋"/>
        </w:rPr>
      </w:pPr>
      <w:r>
        <w:rPr>
          <w:rStyle w:val="2Char"/>
          <w:rFonts w:ascii="仿宋" w:eastAsia="仿宋" w:hAnsi="仿宋" w:hint="eastAsia"/>
          <w:b w:val="0"/>
          <w:bCs w:val="0"/>
        </w:rPr>
        <w:t>十四、国有资本经营预算财政拨款支出决算表</w:t>
      </w:r>
    </w:p>
    <w:sectPr w:rsidR="00862873" w:rsidSect="00862873">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8D" w:rsidRDefault="00D4748D" w:rsidP="00862873">
      <w:r>
        <w:separator/>
      </w:r>
    </w:p>
  </w:endnote>
  <w:endnote w:type="continuationSeparator" w:id="0">
    <w:p w:rsidR="00D4748D" w:rsidRDefault="00D4748D" w:rsidP="00862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862873" w:rsidRDefault="00882D74">
        <w:pPr>
          <w:pStyle w:val="a0"/>
          <w:jc w:val="center"/>
        </w:pPr>
        <w:r w:rsidRPr="00882D74">
          <w:fldChar w:fldCharType="begin"/>
        </w:r>
        <w:r w:rsidR="0057224F">
          <w:instrText>PAGE   \* MERGEFORMAT</w:instrText>
        </w:r>
        <w:r w:rsidRPr="00882D74">
          <w:fldChar w:fldCharType="separate"/>
        </w:r>
        <w:r w:rsidR="00096C79" w:rsidRPr="00096C79">
          <w:rPr>
            <w:noProof/>
            <w:lang w:val="zh-CN"/>
          </w:rPr>
          <w:t>22</w:t>
        </w:r>
        <w:r>
          <w:rPr>
            <w:lang w:val="zh-CN"/>
          </w:rPr>
          <w:fldChar w:fldCharType="end"/>
        </w:r>
      </w:p>
    </w:sdtContent>
  </w:sdt>
  <w:p w:rsidR="00862873" w:rsidRDefault="00862873">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8D" w:rsidRDefault="00D4748D" w:rsidP="00862873">
      <w:r>
        <w:separator/>
      </w:r>
    </w:p>
  </w:footnote>
  <w:footnote w:type="continuationSeparator" w:id="0">
    <w:p w:rsidR="00D4748D" w:rsidRDefault="00D4748D" w:rsidP="00862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3" w:rsidRDefault="0086287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EBA4FC30"/>
    <w:multiLevelType w:val="singleLevel"/>
    <w:tmpl w:val="EBA4FC30"/>
    <w:lvl w:ilvl="0">
      <w:start w:val="1"/>
      <w:numFmt w:val="chineseCounting"/>
      <w:suff w:val="nothing"/>
      <w:lvlText w:val="%1、"/>
      <w:lvlJc w:val="left"/>
      <w:rPr>
        <w:rFonts w:hint="eastAsia"/>
      </w:rPr>
    </w:lvl>
  </w:abstractNum>
  <w:abstractNum w:abstractNumId="3">
    <w:nsid w:val="1080262D"/>
    <w:multiLevelType w:val="multilevel"/>
    <w:tmpl w:val="793A02A0"/>
    <w:lvl w:ilvl="0">
      <w:start w:val="1"/>
      <w:numFmt w:val="japaneseCounting"/>
      <w:lvlText w:val="%1、"/>
      <w:lvlJc w:val="left"/>
      <w:pPr>
        <w:ind w:left="1360" w:hanging="720"/>
      </w:pPr>
      <w:rPr>
        <w:rFonts w:ascii="黑体" w:eastAsia="黑体" w:hAnsi="黑体"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034E"/>
    <w:rsid w:val="000222C6"/>
    <w:rsid w:val="0002549F"/>
    <w:rsid w:val="000468DB"/>
    <w:rsid w:val="000525D7"/>
    <w:rsid w:val="0006487A"/>
    <w:rsid w:val="0006557B"/>
    <w:rsid w:val="00065F8F"/>
    <w:rsid w:val="00070A43"/>
    <w:rsid w:val="000768F2"/>
    <w:rsid w:val="00077CC5"/>
    <w:rsid w:val="0009184B"/>
    <w:rsid w:val="000940B4"/>
    <w:rsid w:val="00094236"/>
    <w:rsid w:val="0009593C"/>
    <w:rsid w:val="00096C79"/>
    <w:rsid w:val="00097322"/>
    <w:rsid w:val="000A6A92"/>
    <w:rsid w:val="000B047F"/>
    <w:rsid w:val="000B5923"/>
    <w:rsid w:val="000B5A48"/>
    <w:rsid w:val="000B6FF3"/>
    <w:rsid w:val="000C3467"/>
    <w:rsid w:val="000C3CA6"/>
    <w:rsid w:val="000D1267"/>
    <w:rsid w:val="000D1D50"/>
    <w:rsid w:val="000D5782"/>
    <w:rsid w:val="000E6613"/>
    <w:rsid w:val="000E7119"/>
    <w:rsid w:val="000F178D"/>
    <w:rsid w:val="000F2CAC"/>
    <w:rsid w:val="000F3102"/>
    <w:rsid w:val="00114E9B"/>
    <w:rsid w:val="00122793"/>
    <w:rsid w:val="00126B58"/>
    <w:rsid w:val="00142216"/>
    <w:rsid w:val="00144D6A"/>
    <w:rsid w:val="0014729F"/>
    <w:rsid w:val="00157BAB"/>
    <w:rsid w:val="001654D1"/>
    <w:rsid w:val="00174518"/>
    <w:rsid w:val="0018106D"/>
    <w:rsid w:val="001877A7"/>
    <w:rsid w:val="00191536"/>
    <w:rsid w:val="00196687"/>
    <w:rsid w:val="001C0962"/>
    <w:rsid w:val="001C33C7"/>
    <w:rsid w:val="001D7531"/>
    <w:rsid w:val="001E737D"/>
    <w:rsid w:val="001F0592"/>
    <w:rsid w:val="001F7506"/>
    <w:rsid w:val="002006CD"/>
    <w:rsid w:val="00202B36"/>
    <w:rsid w:val="0020397B"/>
    <w:rsid w:val="00204B7A"/>
    <w:rsid w:val="00204CDE"/>
    <w:rsid w:val="0021101A"/>
    <w:rsid w:val="00220536"/>
    <w:rsid w:val="00235629"/>
    <w:rsid w:val="00260C38"/>
    <w:rsid w:val="002616C0"/>
    <w:rsid w:val="00265372"/>
    <w:rsid w:val="002662AA"/>
    <w:rsid w:val="00280496"/>
    <w:rsid w:val="0028093C"/>
    <w:rsid w:val="00284150"/>
    <w:rsid w:val="00294DC9"/>
    <w:rsid w:val="00295495"/>
    <w:rsid w:val="002A31DE"/>
    <w:rsid w:val="002A516E"/>
    <w:rsid w:val="002B2613"/>
    <w:rsid w:val="002D5A98"/>
    <w:rsid w:val="002D6D05"/>
    <w:rsid w:val="002D7C21"/>
    <w:rsid w:val="002E76D6"/>
    <w:rsid w:val="002F1818"/>
    <w:rsid w:val="002F567B"/>
    <w:rsid w:val="003061E6"/>
    <w:rsid w:val="00316DE0"/>
    <w:rsid w:val="003216A9"/>
    <w:rsid w:val="0032246D"/>
    <w:rsid w:val="00322C66"/>
    <w:rsid w:val="00333732"/>
    <w:rsid w:val="00335A74"/>
    <w:rsid w:val="003522D1"/>
    <w:rsid w:val="0036561B"/>
    <w:rsid w:val="0037013F"/>
    <w:rsid w:val="00380C92"/>
    <w:rsid w:val="003A484F"/>
    <w:rsid w:val="003A4883"/>
    <w:rsid w:val="003A48FA"/>
    <w:rsid w:val="003B0BE0"/>
    <w:rsid w:val="003B0C1B"/>
    <w:rsid w:val="003B688C"/>
    <w:rsid w:val="003C0291"/>
    <w:rsid w:val="003C39AE"/>
    <w:rsid w:val="003C7B60"/>
    <w:rsid w:val="003D0C0F"/>
    <w:rsid w:val="003D14C3"/>
    <w:rsid w:val="003D1FB2"/>
    <w:rsid w:val="003D66DA"/>
    <w:rsid w:val="003E1310"/>
    <w:rsid w:val="003E6F55"/>
    <w:rsid w:val="003E74EF"/>
    <w:rsid w:val="00406254"/>
    <w:rsid w:val="00421590"/>
    <w:rsid w:val="004223DE"/>
    <w:rsid w:val="00434489"/>
    <w:rsid w:val="00437085"/>
    <w:rsid w:val="00443880"/>
    <w:rsid w:val="004464F4"/>
    <w:rsid w:val="004609C7"/>
    <w:rsid w:val="00462A9C"/>
    <w:rsid w:val="00471401"/>
    <w:rsid w:val="00473F31"/>
    <w:rsid w:val="0048263A"/>
    <w:rsid w:val="00487E5D"/>
    <w:rsid w:val="004A5F17"/>
    <w:rsid w:val="004A711F"/>
    <w:rsid w:val="004B199D"/>
    <w:rsid w:val="004B4690"/>
    <w:rsid w:val="004D3B3F"/>
    <w:rsid w:val="004E0A2D"/>
    <w:rsid w:val="004E206B"/>
    <w:rsid w:val="004E6DF7"/>
    <w:rsid w:val="004F0FBD"/>
    <w:rsid w:val="004F53F9"/>
    <w:rsid w:val="005017EC"/>
    <w:rsid w:val="00505A47"/>
    <w:rsid w:val="005078B1"/>
    <w:rsid w:val="00512FDA"/>
    <w:rsid w:val="00520DA0"/>
    <w:rsid w:val="00521A99"/>
    <w:rsid w:val="00540C1D"/>
    <w:rsid w:val="005425D7"/>
    <w:rsid w:val="005664BB"/>
    <w:rsid w:val="00566FFA"/>
    <w:rsid w:val="0057224F"/>
    <w:rsid w:val="0057481D"/>
    <w:rsid w:val="0058486E"/>
    <w:rsid w:val="00585060"/>
    <w:rsid w:val="00585B33"/>
    <w:rsid w:val="0059014D"/>
    <w:rsid w:val="00597BBB"/>
    <w:rsid w:val="005B5C64"/>
    <w:rsid w:val="005C4A54"/>
    <w:rsid w:val="005C5337"/>
    <w:rsid w:val="005C6600"/>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7B52"/>
    <w:rsid w:val="00654240"/>
    <w:rsid w:val="0065589C"/>
    <w:rsid w:val="0066343B"/>
    <w:rsid w:val="00664777"/>
    <w:rsid w:val="00667951"/>
    <w:rsid w:val="006748A4"/>
    <w:rsid w:val="00680DDC"/>
    <w:rsid w:val="00681A31"/>
    <w:rsid w:val="00683E73"/>
    <w:rsid w:val="006850D9"/>
    <w:rsid w:val="006A3141"/>
    <w:rsid w:val="006A3C7E"/>
    <w:rsid w:val="006A5E34"/>
    <w:rsid w:val="006B2422"/>
    <w:rsid w:val="006B2B9A"/>
    <w:rsid w:val="006C1937"/>
    <w:rsid w:val="006C7191"/>
    <w:rsid w:val="006E22A7"/>
    <w:rsid w:val="006F020C"/>
    <w:rsid w:val="00700DF7"/>
    <w:rsid w:val="007064BC"/>
    <w:rsid w:val="0071242B"/>
    <w:rsid w:val="007127B7"/>
    <w:rsid w:val="007134FA"/>
    <w:rsid w:val="00716D27"/>
    <w:rsid w:val="0071798E"/>
    <w:rsid w:val="00726A56"/>
    <w:rsid w:val="0073647B"/>
    <w:rsid w:val="007416B6"/>
    <w:rsid w:val="00746F48"/>
    <w:rsid w:val="0075404D"/>
    <w:rsid w:val="0076182A"/>
    <w:rsid w:val="00767B7E"/>
    <w:rsid w:val="007770C3"/>
    <w:rsid w:val="00784D24"/>
    <w:rsid w:val="00785FBA"/>
    <w:rsid w:val="00786E4A"/>
    <w:rsid w:val="007875EB"/>
    <w:rsid w:val="0079426B"/>
    <w:rsid w:val="007955F9"/>
    <w:rsid w:val="007A53FE"/>
    <w:rsid w:val="007B1128"/>
    <w:rsid w:val="007D1682"/>
    <w:rsid w:val="007D312A"/>
    <w:rsid w:val="007D3F19"/>
    <w:rsid w:val="007D71C8"/>
    <w:rsid w:val="007D77C5"/>
    <w:rsid w:val="007E23B0"/>
    <w:rsid w:val="007E23E5"/>
    <w:rsid w:val="007F1991"/>
    <w:rsid w:val="007F2C2F"/>
    <w:rsid w:val="007F55FC"/>
    <w:rsid w:val="007F5665"/>
    <w:rsid w:val="00800112"/>
    <w:rsid w:val="00801D87"/>
    <w:rsid w:val="00813348"/>
    <w:rsid w:val="008253BB"/>
    <w:rsid w:val="008334FA"/>
    <w:rsid w:val="0083706E"/>
    <w:rsid w:val="008408F6"/>
    <w:rsid w:val="008423A5"/>
    <w:rsid w:val="00850625"/>
    <w:rsid w:val="00853718"/>
    <w:rsid w:val="00853B45"/>
    <w:rsid w:val="00853CD7"/>
    <w:rsid w:val="00855221"/>
    <w:rsid w:val="00860645"/>
    <w:rsid w:val="00862873"/>
    <w:rsid w:val="008660C2"/>
    <w:rsid w:val="00871F71"/>
    <w:rsid w:val="00872FD8"/>
    <w:rsid w:val="00881859"/>
    <w:rsid w:val="00882D74"/>
    <w:rsid w:val="008848A5"/>
    <w:rsid w:val="00885AF4"/>
    <w:rsid w:val="008860B5"/>
    <w:rsid w:val="008939CD"/>
    <w:rsid w:val="008B768C"/>
    <w:rsid w:val="008B79B6"/>
    <w:rsid w:val="008C4DB1"/>
    <w:rsid w:val="008C4EAF"/>
    <w:rsid w:val="008C5176"/>
    <w:rsid w:val="008C7FD0"/>
    <w:rsid w:val="008E1DE7"/>
    <w:rsid w:val="008E6433"/>
    <w:rsid w:val="008E707C"/>
    <w:rsid w:val="008F3B33"/>
    <w:rsid w:val="00900B08"/>
    <w:rsid w:val="00902155"/>
    <w:rsid w:val="00902FA3"/>
    <w:rsid w:val="00906984"/>
    <w:rsid w:val="00906F3E"/>
    <w:rsid w:val="00920A34"/>
    <w:rsid w:val="00923564"/>
    <w:rsid w:val="0092392E"/>
    <w:rsid w:val="00924E80"/>
    <w:rsid w:val="009315F9"/>
    <w:rsid w:val="00933499"/>
    <w:rsid w:val="00935C98"/>
    <w:rsid w:val="00936EEB"/>
    <w:rsid w:val="00942FFA"/>
    <w:rsid w:val="00946945"/>
    <w:rsid w:val="00947C1D"/>
    <w:rsid w:val="00951248"/>
    <w:rsid w:val="0095152F"/>
    <w:rsid w:val="009531A5"/>
    <w:rsid w:val="00954C49"/>
    <w:rsid w:val="00955E37"/>
    <w:rsid w:val="0097099F"/>
    <w:rsid w:val="00971997"/>
    <w:rsid w:val="00971FFC"/>
    <w:rsid w:val="0098660A"/>
    <w:rsid w:val="00992B1F"/>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262"/>
    <w:rsid w:val="00A40A00"/>
    <w:rsid w:val="00A4142F"/>
    <w:rsid w:val="00A422EB"/>
    <w:rsid w:val="00A45BB7"/>
    <w:rsid w:val="00A52E73"/>
    <w:rsid w:val="00A56DF2"/>
    <w:rsid w:val="00A56E6E"/>
    <w:rsid w:val="00A6633E"/>
    <w:rsid w:val="00A676C0"/>
    <w:rsid w:val="00A67AB5"/>
    <w:rsid w:val="00A727AB"/>
    <w:rsid w:val="00A733B2"/>
    <w:rsid w:val="00A741C2"/>
    <w:rsid w:val="00A836B2"/>
    <w:rsid w:val="00A91760"/>
    <w:rsid w:val="00A93B00"/>
    <w:rsid w:val="00A93C21"/>
    <w:rsid w:val="00AA4BD6"/>
    <w:rsid w:val="00AB64C9"/>
    <w:rsid w:val="00AC3C6A"/>
    <w:rsid w:val="00AD5620"/>
    <w:rsid w:val="00AD656B"/>
    <w:rsid w:val="00AD7C1B"/>
    <w:rsid w:val="00AE16BA"/>
    <w:rsid w:val="00AE1EBE"/>
    <w:rsid w:val="00AF708A"/>
    <w:rsid w:val="00B03C9D"/>
    <w:rsid w:val="00B05889"/>
    <w:rsid w:val="00B060AE"/>
    <w:rsid w:val="00B10517"/>
    <w:rsid w:val="00B1202D"/>
    <w:rsid w:val="00B120D5"/>
    <w:rsid w:val="00B1272F"/>
    <w:rsid w:val="00B14E76"/>
    <w:rsid w:val="00B161B8"/>
    <w:rsid w:val="00B2048C"/>
    <w:rsid w:val="00B21D09"/>
    <w:rsid w:val="00B310B9"/>
    <w:rsid w:val="00B35F3F"/>
    <w:rsid w:val="00B36CBB"/>
    <w:rsid w:val="00B4114B"/>
    <w:rsid w:val="00B425E0"/>
    <w:rsid w:val="00B440AA"/>
    <w:rsid w:val="00B44B70"/>
    <w:rsid w:val="00B52E66"/>
    <w:rsid w:val="00B53C56"/>
    <w:rsid w:val="00B57DAF"/>
    <w:rsid w:val="00B70CA6"/>
    <w:rsid w:val="00B77EA6"/>
    <w:rsid w:val="00B81598"/>
    <w:rsid w:val="00B8219F"/>
    <w:rsid w:val="00B841F1"/>
    <w:rsid w:val="00B842AF"/>
    <w:rsid w:val="00B944D6"/>
    <w:rsid w:val="00BB4DF0"/>
    <w:rsid w:val="00BC289F"/>
    <w:rsid w:val="00BC2D50"/>
    <w:rsid w:val="00BC5361"/>
    <w:rsid w:val="00BC5460"/>
    <w:rsid w:val="00BC6B50"/>
    <w:rsid w:val="00BD0E25"/>
    <w:rsid w:val="00BD11E0"/>
    <w:rsid w:val="00BF5BD6"/>
    <w:rsid w:val="00C03E31"/>
    <w:rsid w:val="00C33B2A"/>
    <w:rsid w:val="00C33E72"/>
    <w:rsid w:val="00C3510D"/>
    <w:rsid w:val="00C354B2"/>
    <w:rsid w:val="00C35554"/>
    <w:rsid w:val="00C370BC"/>
    <w:rsid w:val="00C42709"/>
    <w:rsid w:val="00C4599B"/>
    <w:rsid w:val="00C52822"/>
    <w:rsid w:val="00C533CC"/>
    <w:rsid w:val="00C5751C"/>
    <w:rsid w:val="00C57741"/>
    <w:rsid w:val="00C61BFC"/>
    <w:rsid w:val="00C62B85"/>
    <w:rsid w:val="00C65438"/>
    <w:rsid w:val="00C72649"/>
    <w:rsid w:val="00C87FD8"/>
    <w:rsid w:val="00C91381"/>
    <w:rsid w:val="00C91CBB"/>
    <w:rsid w:val="00CB4E70"/>
    <w:rsid w:val="00CB56F1"/>
    <w:rsid w:val="00CC09B6"/>
    <w:rsid w:val="00CC666F"/>
    <w:rsid w:val="00CD1E3F"/>
    <w:rsid w:val="00CD1F01"/>
    <w:rsid w:val="00CE44F6"/>
    <w:rsid w:val="00CE49DA"/>
    <w:rsid w:val="00CE7B61"/>
    <w:rsid w:val="00CF19DC"/>
    <w:rsid w:val="00CF3060"/>
    <w:rsid w:val="00D00095"/>
    <w:rsid w:val="00D11085"/>
    <w:rsid w:val="00D114F0"/>
    <w:rsid w:val="00D169F5"/>
    <w:rsid w:val="00D20620"/>
    <w:rsid w:val="00D254F7"/>
    <w:rsid w:val="00D26091"/>
    <w:rsid w:val="00D2685C"/>
    <w:rsid w:val="00D34E7C"/>
    <w:rsid w:val="00D35489"/>
    <w:rsid w:val="00D36AFE"/>
    <w:rsid w:val="00D45DD9"/>
    <w:rsid w:val="00D4748D"/>
    <w:rsid w:val="00D51276"/>
    <w:rsid w:val="00D539E5"/>
    <w:rsid w:val="00D7035F"/>
    <w:rsid w:val="00D827F9"/>
    <w:rsid w:val="00D85018"/>
    <w:rsid w:val="00DA634F"/>
    <w:rsid w:val="00DA65AC"/>
    <w:rsid w:val="00DB1913"/>
    <w:rsid w:val="00DC410D"/>
    <w:rsid w:val="00DC5A81"/>
    <w:rsid w:val="00DC68CA"/>
    <w:rsid w:val="00DC7CBA"/>
    <w:rsid w:val="00DD73B7"/>
    <w:rsid w:val="00DF28BC"/>
    <w:rsid w:val="00DF34B9"/>
    <w:rsid w:val="00DF62E6"/>
    <w:rsid w:val="00E01053"/>
    <w:rsid w:val="00E07ACF"/>
    <w:rsid w:val="00E07CD3"/>
    <w:rsid w:val="00E21AED"/>
    <w:rsid w:val="00E30D3E"/>
    <w:rsid w:val="00E331A1"/>
    <w:rsid w:val="00E33202"/>
    <w:rsid w:val="00E336A9"/>
    <w:rsid w:val="00E34CE7"/>
    <w:rsid w:val="00E472B1"/>
    <w:rsid w:val="00E50624"/>
    <w:rsid w:val="00E51700"/>
    <w:rsid w:val="00E568DF"/>
    <w:rsid w:val="00E6420A"/>
    <w:rsid w:val="00E64269"/>
    <w:rsid w:val="00E74CDA"/>
    <w:rsid w:val="00E8049E"/>
    <w:rsid w:val="00E82267"/>
    <w:rsid w:val="00E82367"/>
    <w:rsid w:val="00E85362"/>
    <w:rsid w:val="00E853CE"/>
    <w:rsid w:val="00E867B6"/>
    <w:rsid w:val="00E91D5B"/>
    <w:rsid w:val="00E92ABA"/>
    <w:rsid w:val="00EA010F"/>
    <w:rsid w:val="00EB2594"/>
    <w:rsid w:val="00EB3A6A"/>
    <w:rsid w:val="00EB5834"/>
    <w:rsid w:val="00EC1A93"/>
    <w:rsid w:val="00ED1B63"/>
    <w:rsid w:val="00ED3C1F"/>
    <w:rsid w:val="00ED4085"/>
    <w:rsid w:val="00ED420E"/>
    <w:rsid w:val="00ED6FBE"/>
    <w:rsid w:val="00EE2F57"/>
    <w:rsid w:val="00EE418D"/>
    <w:rsid w:val="00EF4C34"/>
    <w:rsid w:val="00EF77C6"/>
    <w:rsid w:val="00F05438"/>
    <w:rsid w:val="00F071FE"/>
    <w:rsid w:val="00F1361C"/>
    <w:rsid w:val="00F156F0"/>
    <w:rsid w:val="00F160C7"/>
    <w:rsid w:val="00F2408F"/>
    <w:rsid w:val="00F240E9"/>
    <w:rsid w:val="00F36810"/>
    <w:rsid w:val="00F36D8F"/>
    <w:rsid w:val="00F417B1"/>
    <w:rsid w:val="00F45853"/>
    <w:rsid w:val="00F602DF"/>
    <w:rsid w:val="00F754A1"/>
    <w:rsid w:val="00F81FD9"/>
    <w:rsid w:val="00F841AA"/>
    <w:rsid w:val="00F84A94"/>
    <w:rsid w:val="00F87E96"/>
    <w:rsid w:val="00FA23E8"/>
    <w:rsid w:val="00FA2BC9"/>
    <w:rsid w:val="00FC0D3E"/>
    <w:rsid w:val="00FC559E"/>
    <w:rsid w:val="00FD3CC1"/>
    <w:rsid w:val="00FD61C7"/>
    <w:rsid w:val="00FE3A08"/>
    <w:rsid w:val="00FE5405"/>
    <w:rsid w:val="00FF1E02"/>
    <w:rsid w:val="00FF30B4"/>
    <w:rsid w:val="05344197"/>
    <w:rsid w:val="0A2032A3"/>
    <w:rsid w:val="10C055FF"/>
    <w:rsid w:val="118107EC"/>
    <w:rsid w:val="16BB723D"/>
    <w:rsid w:val="18015F3F"/>
    <w:rsid w:val="1A0365DB"/>
    <w:rsid w:val="1BE8440E"/>
    <w:rsid w:val="1D155CEE"/>
    <w:rsid w:val="20F57F95"/>
    <w:rsid w:val="21A649BB"/>
    <w:rsid w:val="240371BF"/>
    <w:rsid w:val="27842671"/>
    <w:rsid w:val="29FD04D3"/>
    <w:rsid w:val="2ABE7A3E"/>
    <w:rsid w:val="319F7F4E"/>
    <w:rsid w:val="3C0C0783"/>
    <w:rsid w:val="493C27E9"/>
    <w:rsid w:val="496F39ED"/>
    <w:rsid w:val="49FF41D3"/>
    <w:rsid w:val="4BE068DB"/>
    <w:rsid w:val="4BF6002B"/>
    <w:rsid w:val="4ECE2238"/>
    <w:rsid w:val="5FB7D783"/>
    <w:rsid w:val="64CA39A1"/>
    <w:rsid w:val="6C4A05C8"/>
    <w:rsid w:val="72734D90"/>
    <w:rsid w:val="79D56857"/>
    <w:rsid w:val="7FE73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287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6287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6287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6287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rsid w:val="00862873"/>
    <w:pPr>
      <w:tabs>
        <w:tab w:val="center" w:pos="4153"/>
        <w:tab w:val="right" w:pos="8306"/>
      </w:tabs>
      <w:snapToGrid w:val="0"/>
      <w:jc w:val="left"/>
    </w:pPr>
    <w:rPr>
      <w:rFonts w:ascii="Calibri" w:hAnsi="Calibri"/>
      <w:kern w:val="0"/>
      <w:sz w:val="18"/>
      <w:szCs w:val="18"/>
    </w:rPr>
  </w:style>
  <w:style w:type="paragraph" w:styleId="a4">
    <w:name w:val="Body Text"/>
    <w:basedOn w:val="a"/>
    <w:link w:val="Char0"/>
    <w:uiPriority w:val="99"/>
    <w:qFormat/>
    <w:rsid w:val="00862873"/>
    <w:pPr>
      <w:spacing w:beforeLines="30"/>
    </w:pPr>
    <w:rPr>
      <w:rFonts w:ascii="仿宋_GB2312" w:eastAsia="仿宋_GB2312"/>
      <w:kern w:val="0"/>
      <w:sz w:val="30"/>
    </w:rPr>
  </w:style>
  <w:style w:type="paragraph" w:styleId="30">
    <w:name w:val="toc 3"/>
    <w:basedOn w:val="a"/>
    <w:next w:val="a"/>
    <w:uiPriority w:val="39"/>
    <w:unhideWhenUsed/>
    <w:qFormat/>
    <w:rsid w:val="00862873"/>
    <w:pPr>
      <w:tabs>
        <w:tab w:val="right" w:leader="dot" w:pos="8296"/>
      </w:tabs>
      <w:ind w:leftChars="400" w:left="840"/>
    </w:pPr>
  </w:style>
  <w:style w:type="paragraph" w:styleId="a5">
    <w:name w:val="Balloon Text"/>
    <w:basedOn w:val="a"/>
    <w:link w:val="Char1"/>
    <w:uiPriority w:val="99"/>
    <w:semiHidden/>
    <w:unhideWhenUsed/>
    <w:qFormat/>
    <w:rsid w:val="00862873"/>
    <w:rPr>
      <w:sz w:val="18"/>
      <w:szCs w:val="18"/>
    </w:rPr>
  </w:style>
  <w:style w:type="paragraph" w:styleId="a6">
    <w:name w:val="header"/>
    <w:basedOn w:val="a"/>
    <w:link w:val="Char2"/>
    <w:uiPriority w:val="99"/>
    <w:semiHidden/>
    <w:qFormat/>
    <w:rsid w:val="0086287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62873"/>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62873"/>
    <w:pPr>
      <w:tabs>
        <w:tab w:val="right" w:leader="dot" w:pos="8296"/>
      </w:tabs>
      <w:ind w:leftChars="200" w:left="420"/>
    </w:pPr>
  </w:style>
  <w:style w:type="paragraph" w:styleId="a7">
    <w:name w:val="Normal (Web)"/>
    <w:basedOn w:val="a"/>
    <w:uiPriority w:val="99"/>
    <w:unhideWhenUsed/>
    <w:qFormat/>
    <w:rsid w:val="00862873"/>
    <w:pPr>
      <w:widowControl/>
      <w:spacing w:before="100" w:beforeAutospacing="1" w:after="100" w:afterAutospacing="1"/>
      <w:jc w:val="left"/>
    </w:pPr>
    <w:rPr>
      <w:rFonts w:ascii="宋体" w:hAnsi="宋体" w:cs="宋体"/>
      <w:kern w:val="0"/>
      <w:sz w:val="24"/>
    </w:rPr>
  </w:style>
  <w:style w:type="character" w:styleId="a8">
    <w:name w:val="Strong"/>
    <w:basedOn w:val="a1"/>
    <w:uiPriority w:val="99"/>
    <w:qFormat/>
    <w:rsid w:val="00862873"/>
    <w:rPr>
      <w:b/>
    </w:rPr>
  </w:style>
  <w:style w:type="character" w:styleId="a9">
    <w:name w:val="Emphasis"/>
    <w:basedOn w:val="a1"/>
    <w:uiPriority w:val="20"/>
    <w:qFormat/>
    <w:rsid w:val="00862873"/>
  </w:style>
  <w:style w:type="character" w:styleId="aa">
    <w:name w:val="Hyperlink"/>
    <w:basedOn w:val="a1"/>
    <w:uiPriority w:val="99"/>
    <w:unhideWhenUsed/>
    <w:qFormat/>
    <w:rsid w:val="00862873"/>
    <w:rPr>
      <w:color w:val="0000FF" w:themeColor="hyperlink"/>
      <w:u w:val="single"/>
    </w:rPr>
  </w:style>
  <w:style w:type="character" w:customStyle="1" w:styleId="HeaderChar">
    <w:name w:val="Header Char"/>
    <w:basedOn w:val="a1"/>
    <w:uiPriority w:val="99"/>
    <w:semiHidden/>
    <w:qFormat/>
    <w:rsid w:val="00862873"/>
    <w:rPr>
      <w:rFonts w:ascii="Times New Roman" w:hAnsi="Times New Roman"/>
      <w:sz w:val="18"/>
      <w:szCs w:val="18"/>
    </w:rPr>
  </w:style>
  <w:style w:type="character" w:customStyle="1" w:styleId="Char2">
    <w:name w:val="页眉 Char"/>
    <w:link w:val="a6"/>
    <w:uiPriority w:val="99"/>
    <w:semiHidden/>
    <w:qFormat/>
    <w:locked/>
    <w:rsid w:val="00862873"/>
    <w:rPr>
      <w:sz w:val="18"/>
    </w:rPr>
  </w:style>
  <w:style w:type="character" w:customStyle="1" w:styleId="FooterChar">
    <w:name w:val="Footer Char"/>
    <w:basedOn w:val="a1"/>
    <w:uiPriority w:val="99"/>
    <w:semiHidden/>
    <w:qFormat/>
    <w:rsid w:val="00862873"/>
    <w:rPr>
      <w:rFonts w:ascii="Times New Roman" w:hAnsi="Times New Roman"/>
      <w:sz w:val="18"/>
      <w:szCs w:val="18"/>
    </w:rPr>
  </w:style>
  <w:style w:type="character" w:customStyle="1" w:styleId="Char">
    <w:name w:val="页脚 Char"/>
    <w:link w:val="a0"/>
    <w:uiPriority w:val="99"/>
    <w:qFormat/>
    <w:locked/>
    <w:rsid w:val="00862873"/>
    <w:rPr>
      <w:sz w:val="18"/>
    </w:rPr>
  </w:style>
  <w:style w:type="character" w:customStyle="1" w:styleId="BodyTextChar">
    <w:name w:val="Body Text Char"/>
    <w:basedOn w:val="a1"/>
    <w:uiPriority w:val="99"/>
    <w:semiHidden/>
    <w:qFormat/>
    <w:rsid w:val="00862873"/>
    <w:rPr>
      <w:rFonts w:ascii="Times New Roman" w:hAnsi="Times New Roman"/>
      <w:szCs w:val="24"/>
    </w:rPr>
  </w:style>
  <w:style w:type="character" w:customStyle="1" w:styleId="Char0">
    <w:name w:val="正文文本 Char"/>
    <w:link w:val="a4"/>
    <w:uiPriority w:val="99"/>
    <w:qFormat/>
    <w:locked/>
    <w:rsid w:val="00862873"/>
    <w:rPr>
      <w:rFonts w:ascii="仿宋_GB2312" w:eastAsia="仿宋_GB2312" w:hAnsi="Times New Roman"/>
      <w:sz w:val="24"/>
    </w:rPr>
  </w:style>
  <w:style w:type="paragraph" w:customStyle="1" w:styleId="Default">
    <w:name w:val="Default"/>
    <w:uiPriority w:val="99"/>
    <w:qFormat/>
    <w:rsid w:val="00862873"/>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862873"/>
    <w:pPr>
      <w:ind w:firstLineChars="200" w:firstLine="420"/>
    </w:pPr>
  </w:style>
  <w:style w:type="character" w:customStyle="1" w:styleId="1Char">
    <w:name w:val="标题 1 Char"/>
    <w:basedOn w:val="a1"/>
    <w:link w:val="1"/>
    <w:uiPriority w:val="9"/>
    <w:qFormat/>
    <w:rsid w:val="00862873"/>
    <w:rPr>
      <w:rFonts w:ascii="Times New Roman" w:hAnsi="Times New Roman"/>
      <w:b/>
      <w:bCs/>
      <w:kern w:val="44"/>
      <w:sz w:val="44"/>
      <w:szCs w:val="44"/>
    </w:rPr>
  </w:style>
  <w:style w:type="character" w:customStyle="1" w:styleId="2Char">
    <w:name w:val="标题 2 Char"/>
    <w:basedOn w:val="a1"/>
    <w:link w:val="2"/>
    <w:uiPriority w:val="9"/>
    <w:qFormat/>
    <w:rsid w:val="00862873"/>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628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1"/>
    <w:link w:val="a5"/>
    <w:uiPriority w:val="99"/>
    <w:semiHidden/>
    <w:qFormat/>
    <w:rsid w:val="00862873"/>
    <w:rPr>
      <w:rFonts w:ascii="Times New Roman" w:hAnsi="Times New Roman"/>
      <w:kern w:val="2"/>
      <w:sz w:val="18"/>
      <w:szCs w:val="18"/>
    </w:rPr>
  </w:style>
  <w:style w:type="character" w:customStyle="1" w:styleId="3Char">
    <w:name w:val="标题 3 Char"/>
    <w:basedOn w:val="a1"/>
    <w:link w:val="3"/>
    <w:uiPriority w:val="9"/>
    <w:qFormat/>
    <w:rsid w:val="00862873"/>
    <w:rPr>
      <w:rFonts w:ascii="Times New Roman" w:hAnsi="Times New Roman"/>
      <w:b/>
      <w:bCs/>
      <w:kern w:val="2"/>
      <w:sz w:val="32"/>
      <w:szCs w:val="32"/>
    </w:rPr>
  </w:style>
  <w:style w:type="paragraph" w:customStyle="1" w:styleId="TOC2">
    <w:name w:val="TOC 标题2"/>
    <w:basedOn w:val="1"/>
    <w:next w:val="a"/>
    <w:uiPriority w:val="39"/>
    <w:unhideWhenUsed/>
    <w:qFormat/>
    <w:rsid w:val="0086287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6774193548387746E-2"/>
          <c:y val="3.4749034749034798E-2"/>
          <c:w val="0.71612903225809033"/>
          <c:h val="0.8262548262548387"/>
        </c:manualLayout>
      </c:layout>
      <c:barChart>
        <c:barDir val="col"/>
        <c:grouping val="clustered"/>
        <c:ser>
          <c:idx val="1"/>
          <c:order val="0"/>
          <c:tx>
            <c:strRef>
              <c:f>Sheet1!$A$2</c:f>
              <c:strCache>
                <c:ptCount val="1"/>
                <c:pt idx="0">
                  <c:v>2020年</c:v>
                </c:pt>
              </c:strCache>
            </c:strRef>
          </c:tx>
          <c:spPr>
            <a:solidFill>
              <a:srgbClr val="993366"/>
            </a:solidFill>
            <a:ln w="12611">
              <a:solidFill>
                <a:srgbClr val="000000"/>
              </a:solidFill>
              <a:prstDash val="solid"/>
            </a:ln>
          </c:spPr>
          <c:dLbls>
            <c:dLbl>
              <c:idx val="0"/>
              <c:layout>
                <c:manualLayout>
                  <c:x val="-3.6533340445524441E-2"/>
                  <c:y val="2.3451421806105103E-2"/>
                </c:manualLayout>
              </c:layout>
              <c:dLblPos val="outEnd"/>
              <c:showVal val="1"/>
              <c:extLst>
                <c:ext xmlns:c15="http://schemas.microsoft.com/office/drawing/2012/chart" uri="{CE6537A1-D6FC-4f65-9D91-7224C49458BB}">
                  <c15:layout/>
                </c:ext>
              </c:extLst>
            </c:dLbl>
            <c:dLbl>
              <c:idx val="1"/>
              <c:layout>
                <c:manualLayout>
                  <c:x val="1.2904728102317199E-2"/>
                  <c:y val="2.8979337781782449E-2"/>
                </c:manualLayout>
              </c:layout>
              <c:dLblPos val="outEnd"/>
              <c:showVal val="1"/>
              <c:extLst>
                <c:ext xmlns:c15="http://schemas.microsoft.com/office/drawing/2012/chart" uri="{CE6537A1-D6FC-4f65-9D91-7224C49458BB}">
                  <c15:layout/>
                </c:ext>
              </c:extLst>
            </c:dLbl>
            <c:spPr>
              <a:noFill/>
              <a:ln w="2522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Sheet1!$B$1:$C$1</c:f>
              <c:strCache>
                <c:ptCount val="2"/>
                <c:pt idx="0">
                  <c:v>收入</c:v>
                </c:pt>
                <c:pt idx="1">
                  <c:v>支出</c:v>
                </c:pt>
              </c:strCache>
            </c:strRef>
          </c:cat>
          <c:val>
            <c:numRef>
              <c:f>Sheet1!$B$2:$C$2</c:f>
              <c:numCache>
                <c:formatCode>General</c:formatCode>
                <c:ptCount val="2"/>
                <c:pt idx="0">
                  <c:v>241.37</c:v>
                </c:pt>
                <c:pt idx="1">
                  <c:v>241.37</c:v>
                </c:pt>
              </c:numCache>
            </c:numRef>
          </c:val>
        </c:ser>
        <c:ser>
          <c:idx val="2"/>
          <c:order val="1"/>
          <c:tx>
            <c:strRef>
              <c:f>Sheet1!$A$3</c:f>
              <c:strCache>
                <c:ptCount val="1"/>
                <c:pt idx="0">
                  <c:v>2021年</c:v>
                </c:pt>
              </c:strCache>
            </c:strRef>
          </c:tx>
          <c:spPr>
            <a:solidFill>
              <a:srgbClr val="FFFFCC"/>
            </a:solidFill>
            <a:ln w="12611">
              <a:solidFill>
                <a:srgbClr val="000000"/>
              </a:solidFill>
              <a:prstDash val="solid"/>
            </a:ln>
          </c:spPr>
          <c:dLbls>
            <c:dLbl>
              <c:idx val="0"/>
              <c:layout>
                <c:manualLayout>
                  <c:x val="2.346222811257501E-2"/>
                  <c:y val="1.7284966244891006E-2"/>
                </c:manualLayout>
              </c:layout>
              <c:dLblPos val="outEnd"/>
              <c:showVal val="1"/>
              <c:extLst>
                <c:ext xmlns:c15="http://schemas.microsoft.com/office/drawing/2012/chart" uri="{CE6537A1-D6FC-4f65-9D91-7224C49458BB}">
                  <c15:layout/>
                </c:ext>
              </c:extLst>
            </c:dLbl>
            <c:dLbl>
              <c:idx val="1"/>
              <c:layout>
                <c:manualLayout>
                  <c:x val="2.7240852970502202E-2"/>
                  <c:y val="2.2812882220568202E-2"/>
                </c:manualLayout>
              </c:layout>
              <c:dLblPos val="outEnd"/>
              <c:showVal val="1"/>
              <c:extLst>
                <c:ext xmlns:c15="http://schemas.microsoft.com/office/drawing/2012/chart" uri="{CE6537A1-D6FC-4f65-9D91-7224C49458BB}">
                  <c15:layout/>
                </c:ext>
              </c:extLst>
            </c:dLbl>
            <c:spPr>
              <a:noFill/>
              <a:ln w="2522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Sheet1!$B$1:$C$1</c:f>
              <c:strCache>
                <c:ptCount val="2"/>
                <c:pt idx="0">
                  <c:v>收入</c:v>
                </c:pt>
                <c:pt idx="1">
                  <c:v>支出</c:v>
                </c:pt>
              </c:strCache>
            </c:strRef>
          </c:cat>
          <c:val>
            <c:numRef>
              <c:f>Sheet1!$B$3:$C$3</c:f>
              <c:numCache>
                <c:formatCode>General</c:formatCode>
                <c:ptCount val="2"/>
                <c:pt idx="0">
                  <c:v>220.63</c:v>
                </c:pt>
                <c:pt idx="1">
                  <c:v>220.63</c:v>
                </c:pt>
              </c:numCache>
            </c:numRef>
          </c:val>
        </c:ser>
        <c:dLbls>
          <c:showVal val="1"/>
        </c:dLbls>
        <c:axId val="91281280"/>
        <c:axId val="91282816"/>
      </c:barChart>
      <c:catAx>
        <c:axId val="91281280"/>
        <c:scaling>
          <c:orientation val="minMax"/>
        </c:scaling>
        <c:axPos val="b"/>
        <c:numFmt formatCode="General" sourceLinked="1"/>
        <c:majorTickMark val="in"/>
        <c:tickLblPos val="low"/>
        <c:spPr>
          <a:ln w="3153"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91282816"/>
        <c:crosses val="autoZero"/>
        <c:auto val="1"/>
        <c:lblAlgn val="ctr"/>
        <c:lblOffset val="100"/>
        <c:tickLblSkip val="1"/>
      </c:catAx>
      <c:valAx>
        <c:axId val="91282816"/>
        <c:scaling>
          <c:orientation val="minMax"/>
        </c:scaling>
        <c:axPos val="l"/>
        <c:majorGridlines>
          <c:spPr>
            <a:ln w="3153" cap="flat" cmpd="sng" algn="ctr">
              <a:solidFill>
                <a:srgbClr val="000000"/>
              </a:solidFill>
              <a:prstDash val="solid"/>
              <a:round/>
            </a:ln>
          </c:spPr>
        </c:majorGridlines>
        <c:numFmt formatCode="General" sourceLinked="1"/>
        <c:majorTickMark val="in"/>
        <c:tickLblPos val="nextTo"/>
        <c:spPr>
          <a:ln w="3153"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9128128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655913978494556"/>
          <c:y val="0.41698841698842543"/>
          <c:w val="0.15483870967741944"/>
          <c:h val="0.166023166023166"/>
        </c:manualLayout>
      </c:layout>
      <c:spPr>
        <a:noFill/>
        <a:ln w="3153">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charset="-122"/>
              <a:ea typeface="宋体" charset="-122"/>
              <a:cs typeface="宋体" charset="-122"/>
            </a:defRPr>
          </a:pPr>
          <a:endParaRPr lang="zh-CN"/>
        </a:p>
      </c:txPr>
    </c:legend>
    <c:plotVisOnly val="1"/>
    <c:dispBlanksAs val="gap"/>
  </c:chart>
  <c:spPr>
    <a:noFill/>
    <a:ln w="9525" cap="flat" cmpd="sng" algn="ctr">
      <a:noFill/>
      <a:prstDash val="solid"/>
      <a:round/>
    </a:ln>
  </c:spPr>
  <c:txPr>
    <a:bodyPr/>
    <a:lstStyle/>
    <a:p>
      <a:pPr>
        <a:defRPr lang="zh-CN" sz="1190" b="0" i="0" u="none" strike="noStrike" baseline="0">
          <a:solidFill>
            <a:srgbClr val="000000"/>
          </a:solidFill>
          <a:latin typeface="宋体" charset="-122"/>
          <a:ea typeface="宋体" charset="-122"/>
          <a:cs typeface="宋体"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703"/>
          <c:y val="0.19708029197080301"/>
          <c:w val="0.35443037974683939"/>
          <c:h val="0.61313868613139577"/>
        </c:manualLayout>
      </c:layout>
      <c:pieChart>
        <c:varyColors val="1"/>
        <c:ser>
          <c:idx val="0"/>
          <c:order val="0"/>
          <c:tx>
            <c:strRef>
              <c:f>Sheet1!$A$2</c:f>
              <c:strCache>
                <c:ptCount val="1"/>
                <c:pt idx="0">
                  <c:v>2021年</c:v>
                </c:pt>
              </c:strCache>
            </c:strRef>
          </c:tx>
          <c:spPr>
            <a:solidFill>
              <a:srgbClr val="9999FF"/>
            </a:solidFill>
            <a:ln w="12631">
              <a:solidFill>
                <a:srgbClr val="000000"/>
              </a:solidFill>
              <a:prstDash val="solid"/>
            </a:ln>
          </c:spPr>
          <c:dLbls>
            <c:numFmt formatCode="0%" sourceLinked="0"/>
            <c:spPr>
              <a:noFill/>
              <a:ln w="25262">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000000"/>
                    </a:solidFill>
                    <a:latin typeface="宋体" charset="-122"/>
                    <a:ea typeface="宋体" charset="-122"/>
                    <a:cs typeface="宋体" charset="-122"/>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Sheet1!$B$1:$B$1</c:f>
              <c:strCache>
                <c:ptCount val="1"/>
                <c:pt idx="0">
                  <c:v>一般公共预算财政拨款收入</c:v>
                </c:pt>
              </c:strCache>
            </c:strRef>
          </c:cat>
          <c:val>
            <c:numRef>
              <c:f>Sheet1!$B$2:$B$2</c:f>
              <c:numCache>
                <c:formatCode>General</c:formatCode>
                <c:ptCount val="1"/>
                <c:pt idx="0">
                  <c:v>220.63</c:v>
                </c:pt>
              </c:numCache>
            </c:numRef>
          </c:val>
        </c:ser>
        <c:dLbls>
          <c:showPercent val="1"/>
        </c:dLbls>
        <c:firstSliceAng val="0"/>
      </c:pieChart>
      <c:spPr>
        <a:solidFill>
          <a:srgbClr val="C0C0C0"/>
        </a:solidFill>
        <a:ln w="12631">
          <a:solidFill>
            <a:srgbClr val="808080"/>
          </a:solidFill>
          <a:prstDash val="solid"/>
        </a:ln>
      </c:spPr>
    </c:plotArea>
    <c:legend>
      <c:legendPos val="r"/>
      <c:layout>
        <c:manualLayout>
          <c:xMode val="edge"/>
          <c:yMode val="edge"/>
          <c:x val="0.670886075949367"/>
          <c:y val="0.42700729927007886"/>
          <c:w val="0.32067510548523231"/>
          <c:h val="0.14598540145985675"/>
        </c:manualLayout>
      </c:layout>
      <c:spPr>
        <a:noFill/>
        <a:ln w="3158">
          <a:solidFill>
            <a:srgbClr val="000000"/>
          </a:solidFill>
          <a:prstDash val="solid"/>
        </a:ln>
      </c:spPr>
      <c:txPr>
        <a:bodyPr rot="0" spcFirstLastPara="0" vertOverflow="ellipsis" vert="horz" wrap="square" anchor="ctr" anchorCtr="1"/>
        <a:lstStyle/>
        <a:p>
          <a:pPr>
            <a:defRPr lang="zh-CN" sz="1095"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195" b="0" i="0" u="none" strike="noStrike" baseline="0">
          <a:solidFill>
            <a:srgbClr val="000000"/>
          </a:solidFill>
          <a:latin typeface="宋体" charset="-122"/>
          <a:ea typeface="宋体" charset="-122"/>
          <a:cs typeface="宋体"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036529680365301"/>
          <c:y val="0.221854304635762"/>
          <c:w val="0.38812785388128368"/>
          <c:h val="0.56291390728476798"/>
        </c:manualLayout>
      </c:layout>
      <c:pieChart>
        <c:varyColors val="1"/>
        <c:ser>
          <c:idx val="0"/>
          <c:order val="0"/>
          <c:tx>
            <c:strRef>
              <c:f>Sheet1!$A$2</c:f>
              <c:strCache>
                <c:ptCount val="1"/>
                <c:pt idx="0">
                  <c:v>2021年支出合计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a:effectLst/>
            </c:spPr>
            <c:txPr>
              <a:bodyPr rot="0" spcFirstLastPara="0" vertOverflow="ellipsis" vert="horz" wrap="square" lIns="38100" tIns="19050" rIns="38100" bIns="19050" anchor="ctr" anchorCtr="1"/>
              <a:lstStyle/>
              <a:p>
                <a:pPr>
                  <a:defRPr lang="zh-CN" sz="1415" b="0" i="0" u="none" strike="noStrike" kern="1200" baseline="0">
                    <a:solidFill>
                      <a:srgbClr val="000000"/>
                    </a:solidFill>
                    <a:latin typeface="宋体" charset="-122"/>
                    <a:ea typeface="宋体" charset="-122"/>
                    <a:cs typeface="宋体" charset="-122"/>
                  </a:defRPr>
                </a:pPr>
                <a:endParaRPr lang="zh-CN"/>
              </a:p>
            </c:txPr>
            <c:dLblPos val="bestFit"/>
            <c:showPercent val="1"/>
            <c:showLeaderLines val="1"/>
            <c:extLst>
              <c:ext xmlns:c15="http://schemas.microsoft.com/office/drawing/2012/chart" uri="{CE6537A1-D6FC-4f65-9D91-7224C49458BB}">
                <c15:layout/>
                <c15:showLeaderLines val="true"/>
                <c15:leaderLines/>
              </c:ext>
            </c:extLst>
          </c:dLbls>
          <c:cat>
            <c:strRef>
              <c:f>Sheet1!$B$1:$C$1</c:f>
              <c:strCache>
                <c:ptCount val="2"/>
                <c:pt idx="0">
                  <c:v>基本支出</c:v>
                </c:pt>
                <c:pt idx="1">
                  <c:v>项目支出</c:v>
                </c:pt>
              </c:strCache>
            </c:strRef>
          </c:cat>
          <c:val>
            <c:numRef>
              <c:f>Sheet1!$B$2:$C$2</c:f>
              <c:numCache>
                <c:formatCode>General</c:formatCode>
                <c:ptCount val="2"/>
                <c:pt idx="0" formatCode="0.00_ ">
                  <c:v>119.8</c:v>
                </c:pt>
                <c:pt idx="1">
                  <c:v>100.83</c:v>
                </c:pt>
              </c:numCache>
            </c:numRef>
          </c:val>
        </c:ser>
        <c:dLbls>
          <c:showPercent val="1"/>
        </c:dLbls>
        <c:firstSliceAng val="15"/>
      </c:pieChart>
      <c:spPr>
        <a:solidFill>
          <a:srgbClr val="C0C0C0"/>
        </a:solidFill>
        <a:ln w="12609">
          <a:solidFill>
            <a:srgbClr val="808080"/>
          </a:solidFill>
          <a:prstDash val="solid"/>
        </a:ln>
        <a:effectLst/>
      </c:spPr>
    </c:plotArea>
    <c:legend>
      <c:legendPos val="r"/>
      <c:layout>
        <c:manualLayout>
          <c:xMode val="edge"/>
          <c:yMode val="edge"/>
          <c:x val="0.74657534246575563"/>
          <c:y val="0.40728476821192539"/>
          <c:w val="0.20706242059656799"/>
          <c:h val="0.16126280179103344"/>
        </c:manualLayout>
      </c:layout>
      <c:spPr>
        <a:noFill/>
        <a:ln w="3152">
          <a:solidFill>
            <a:srgbClr val="000000"/>
          </a:solidFill>
          <a:prstDash val="solid"/>
        </a:ln>
      </c:spPr>
      <c:txPr>
        <a:bodyPr rot="0" spcFirstLastPara="0" vertOverflow="ellipsis" vert="horz" wrap="square" anchor="ctr" anchorCtr="1"/>
        <a:lstStyle/>
        <a:p>
          <a:pPr>
            <a:defRPr lang="zh-CN" sz="1300"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415" b="0" i="0" u="none" strike="noStrike" baseline="0">
          <a:solidFill>
            <a:srgbClr val="000000"/>
          </a:solidFill>
          <a:latin typeface="宋体" charset="-122"/>
          <a:ea typeface="宋体" charset="-122"/>
          <a:cs typeface="宋体"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250569476082012"/>
          <c:y val="5.3003533568904602E-2"/>
          <c:w val="0.6993166287015945"/>
          <c:h val="0.81978798586571522"/>
        </c:manualLayout>
      </c:layout>
      <c:barChart>
        <c:barDir val="col"/>
        <c:grouping val="clustered"/>
        <c:ser>
          <c:idx val="1"/>
          <c:order val="0"/>
          <c:tx>
            <c:strRef>
              <c:f>Sheet1!$A$2</c:f>
              <c:strCache>
                <c:ptCount val="1"/>
                <c:pt idx="0">
                  <c:v>2020年</c:v>
                </c:pt>
              </c:strCache>
            </c:strRef>
          </c:tx>
          <c:spPr>
            <a:solidFill>
              <a:srgbClr val="993366"/>
            </a:solidFill>
            <a:ln w="12601">
              <a:solidFill>
                <a:srgbClr val="000000"/>
              </a:solidFill>
              <a:prstDash val="solid"/>
            </a:ln>
          </c:spPr>
          <c:dLbls>
            <c:spPr>
              <a:noFill/>
              <a:ln w="2520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Sheet1!$B$1:$E$1</c:f>
              <c:strCache>
                <c:ptCount val="2"/>
                <c:pt idx="0">
                  <c:v>收入</c:v>
                </c:pt>
                <c:pt idx="1">
                  <c:v>支出</c:v>
                </c:pt>
              </c:strCache>
            </c:strRef>
          </c:cat>
          <c:val>
            <c:numRef>
              <c:f>Sheet1!$B$2:$E$2</c:f>
              <c:numCache>
                <c:formatCode>General</c:formatCode>
                <c:ptCount val="4"/>
                <c:pt idx="0">
                  <c:v>241.37</c:v>
                </c:pt>
                <c:pt idx="1">
                  <c:v>241.37</c:v>
                </c:pt>
              </c:numCache>
            </c:numRef>
          </c:val>
        </c:ser>
        <c:ser>
          <c:idx val="2"/>
          <c:order val="1"/>
          <c:tx>
            <c:strRef>
              <c:f>Sheet1!$A$3</c:f>
              <c:strCache>
                <c:ptCount val="1"/>
                <c:pt idx="0">
                  <c:v>2021年</c:v>
                </c:pt>
              </c:strCache>
            </c:strRef>
          </c:tx>
          <c:spPr>
            <a:solidFill>
              <a:srgbClr val="FFFFCC"/>
            </a:solidFill>
            <a:ln w="12601">
              <a:solidFill>
                <a:srgbClr val="000000"/>
              </a:solidFill>
              <a:prstDash val="solid"/>
            </a:ln>
          </c:spPr>
          <c:dLbls>
            <c:dLbl>
              <c:idx val="0"/>
              <c:layout>
                <c:manualLayout>
                  <c:x val="3.2592592592592597E-2"/>
                  <c:y val="1.3651877133105866E-2"/>
                </c:manualLayout>
              </c:layout>
              <c:dLblPos val="outEnd"/>
              <c:showVal val="1"/>
              <c:extLst>
                <c:ext xmlns:c15="http://schemas.microsoft.com/office/drawing/2012/chart" uri="{CE6537A1-D6FC-4f65-9D91-7224C49458BB}">
                  <c15:layout/>
                </c:ext>
              </c:extLst>
            </c:dLbl>
            <c:dLbl>
              <c:idx val="1"/>
              <c:layout>
                <c:manualLayout>
                  <c:x val="5.0370370370370406E-2"/>
                  <c:y val="9.1012514220704666E-3"/>
                </c:manualLayout>
              </c:layout>
              <c:dLblPos val="outEnd"/>
              <c:showVal val="1"/>
              <c:extLst>
                <c:ext xmlns:c15="http://schemas.microsoft.com/office/drawing/2012/chart" uri="{CE6537A1-D6FC-4f65-9D91-7224C49458BB}">
                  <c15:layout/>
                </c:ext>
              </c:extLst>
            </c:dLbl>
            <c:spPr>
              <a:noFill/>
              <a:ln w="2520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Sheet1!$B$1:$E$1</c:f>
              <c:strCache>
                <c:ptCount val="2"/>
                <c:pt idx="0">
                  <c:v>收入</c:v>
                </c:pt>
                <c:pt idx="1">
                  <c:v>支出</c:v>
                </c:pt>
              </c:strCache>
            </c:strRef>
          </c:cat>
          <c:val>
            <c:numRef>
              <c:f>Sheet1!$B$3:$E$3</c:f>
              <c:numCache>
                <c:formatCode>General</c:formatCode>
                <c:ptCount val="4"/>
                <c:pt idx="0">
                  <c:v>220.63</c:v>
                </c:pt>
                <c:pt idx="1">
                  <c:v>220.63</c:v>
                </c:pt>
              </c:numCache>
            </c:numRef>
          </c:val>
        </c:ser>
        <c:dLbls>
          <c:showVal val="1"/>
        </c:dLbls>
        <c:axId val="91993600"/>
        <c:axId val="91995136"/>
      </c:barChart>
      <c:catAx>
        <c:axId val="91993600"/>
        <c:scaling>
          <c:orientation val="minMax"/>
        </c:scaling>
        <c:axPos val="b"/>
        <c:numFmt formatCode="General" sourceLinked="1"/>
        <c:majorTickMark val="in"/>
        <c:tickLblPos val="low"/>
        <c:spPr>
          <a:ln w="3150"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91995136"/>
        <c:crosses val="autoZero"/>
        <c:auto val="1"/>
        <c:lblAlgn val="ctr"/>
        <c:lblOffset val="100"/>
        <c:tickLblSkip val="1"/>
      </c:catAx>
      <c:valAx>
        <c:axId val="91995136"/>
        <c:scaling>
          <c:orientation val="minMax"/>
        </c:scaling>
        <c:axPos val="l"/>
        <c:majorGridlines>
          <c:spPr>
            <a:ln w="3150" cap="flat" cmpd="sng" algn="ctr">
              <a:solidFill>
                <a:srgbClr val="000000"/>
              </a:solidFill>
              <a:prstDash val="solid"/>
              <a:round/>
            </a:ln>
          </c:spPr>
        </c:majorGridlines>
        <c:numFmt formatCode="General" sourceLinked="1"/>
        <c:majorTickMark val="in"/>
        <c:tickLblPos val="nextTo"/>
        <c:spPr>
          <a:ln w="3150"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crossAx val="9199360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687927107061765"/>
          <c:y val="0.42402826855123732"/>
          <c:w val="0.16400911161731221"/>
          <c:h val="0.15194346289753305"/>
        </c:manualLayout>
      </c:layout>
      <c:spPr>
        <a:noFill/>
        <a:ln w="3150">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charset="-122"/>
              <a:ea typeface="宋体" charset="-122"/>
              <a:cs typeface="宋体" charset="-122"/>
            </a:defRPr>
          </a:pPr>
          <a:endParaRPr lang="zh-CN"/>
        </a:p>
      </c:txPr>
    </c:legend>
    <c:plotVisOnly val="1"/>
    <c:dispBlanksAs val="gap"/>
  </c:chart>
  <c:spPr>
    <a:noFill/>
    <a:ln w="9525" cap="flat" cmpd="sng" algn="ctr">
      <a:noFill/>
      <a:prstDash val="solid"/>
      <a:round/>
    </a:ln>
  </c:spPr>
  <c:txPr>
    <a:bodyPr/>
    <a:lstStyle/>
    <a:p>
      <a:pPr>
        <a:defRPr lang="zh-CN" sz="1190" b="0" i="0" u="none" strike="noStrike" baseline="0">
          <a:solidFill>
            <a:srgbClr val="000000"/>
          </a:solidFill>
          <a:latin typeface="宋体" charset="-122"/>
          <a:ea typeface="宋体" charset="-122"/>
          <a:cs typeface="宋体"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465373961218802"/>
          <c:y val="4.7619047619047623E-2"/>
          <c:w val="0.68144044321330477"/>
          <c:h val="0.80086580086580261"/>
        </c:manualLayout>
      </c:layout>
      <c:barChart>
        <c:barDir val="col"/>
        <c:grouping val="clustered"/>
        <c:ser>
          <c:idx val="0"/>
          <c:order val="0"/>
          <c:tx>
            <c:strRef>
              <c:f>Sheet1!$A$2</c:f>
              <c:strCache>
                <c:ptCount val="1"/>
                <c:pt idx="0">
                  <c:v>2020</c:v>
                </c:pt>
              </c:strCache>
            </c:strRef>
          </c:tx>
          <c:spPr>
            <a:solidFill>
              <a:srgbClr val="9999FF"/>
            </a:solidFill>
            <a:ln w="12614">
              <a:solidFill>
                <a:srgbClr val="000000"/>
              </a:solidFill>
              <a:prstDash val="solid"/>
            </a:ln>
          </c:spPr>
          <c:dLbls>
            <c:dLbl>
              <c:idx val="0"/>
              <c:layout>
                <c:manualLayout>
                  <c:x val="1.43240823634736E-2"/>
                  <c:y val="3.3158331030671506E-2"/>
                </c:manualLayout>
              </c:layout>
              <c:dLblPos val="outEnd"/>
              <c:showVal val="1"/>
              <c:extLst>
                <c:ext xmlns:c15="http://schemas.microsoft.com/office/drawing/2012/chart" uri="{CE6537A1-D6FC-4f65-9D91-7224C49458BB}">
                  <c15:layout/>
                </c:ext>
              </c:extLst>
            </c:dLbl>
            <c:spPr>
              <a:noFill/>
              <a:ln w="25228">
                <a:noFill/>
              </a:ln>
              <a:effectLst/>
            </c:spPr>
            <c:txPr>
              <a:bodyPr rot="0" spcFirstLastPara="0" vertOverflow="ellipsis" vert="horz" wrap="square" lIns="38100" tIns="19050" rIns="38100" bIns="19050"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Sheet1!$B$1:$D$1</c:f>
              <c:strCache>
                <c:ptCount val="1"/>
                <c:pt idx="0">
                  <c:v>支出</c:v>
                </c:pt>
              </c:strCache>
            </c:strRef>
          </c:cat>
          <c:val>
            <c:numRef>
              <c:f>Sheet1!$B$2:$D$2</c:f>
              <c:numCache>
                <c:formatCode>General</c:formatCode>
                <c:ptCount val="2"/>
                <c:pt idx="0">
                  <c:v>241.37</c:v>
                </c:pt>
              </c:numCache>
            </c:numRef>
          </c:val>
        </c:ser>
        <c:ser>
          <c:idx val="1"/>
          <c:order val="1"/>
          <c:tx>
            <c:strRef>
              <c:f>Sheet1!$A$3</c:f>
              <c:strCache>
                <c:ptCount val="1"/>
                <c:pt idx="0">
                  <c:v>2021</c:v>
                </c:pt>
              </c:strCache>
            </c:strRef>
          </c:tx>
          <c:spPr>
            <a:solidFill>
              <a:srgbClr val="993366"/>
            </a:solidFill>
            <a:ln w="12614">
              <a:solidFill>
                <a:srgbClr val="000000"/>
              </a:solidFill>
              <a:prstDash val="solid"/>
            </a:ln>
          </c:spPr>
          <c:dLbls>
            <c:dLbl>
              <c:idx val="0"/>
              <c:layout>
                <c:manualLayout>
                  <c:x val="2.8648164726947204E-2"/>
                  <c:y val="1.1052777010223801E-2"/>
                </c:manualLayout>
              </c:layout>
              <c:dLblPos val="outEnd"/>
              <c:showVal val="1"/>
              <c:extLst>
                <c:ext xmlns:c15="http://schemas.microsoft.com/office/drawing/2012/chart" uri="{CE6537A1-D6FC-4f65-9D91-7224C49458BB}">
                  <c15:layout/>
                </c:ext>
              </c:extLst>
            </c:dLbl>
            <c:spPr>
              <a:noFill/>
              <a:ln w="25228">
                <a:noFill/>
              </a:ln>
              <a:effectLst/>
            </c:spPr>
            <c:txPr>
              <a:bodyPr rot="0" spcFirstLastPara="0" vertOverflow="ellipsis" vert="horz" wrap="square" lIns="38100" tIns="19050" rIns="38100" bIns="19050"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dLblPos val="outEnd"/>
            <c:showVal val="1"/>
            <c:extLst>
              <c:ext xmlns:c15="http://schemas.microsoft.com/office/drawing/2012/chart" uri="{CE6537A1-D6FC-4f65-9D91-7224C49458BB}">
                <c15:layout/>
                <c15:showLeaderLines val="false"/>
                <c15:leaderLines/>
              </c:ext>
            </c:extLst>
          </c:dLbls>
          <c:cat>
            <c:strRef>
              <c:f>Sheet1!$B$1:$D$1</c:f>
              <c:strCache>
                <c:ptCount val="1"/>
                <c:pt idx="0">
                  <c:v>支出</c:v>
                </c:pt>
              </c:strCache>
            </c:strRef>
          </c:cat>
          <c:val>
            <c:numRef>
              <c:f>Sheet1!$B$3:$D$3</c:f>
              <c:numCache>
                <c:formatCode>General</c:formatCode>
                <c:ptCount val="2"/>
                <c:pt idx="0">
                  <c:v>220.63</c:v>
                </c:pt>
              </c:numCache>
            </c:numRef>
          </c:val>
        </c:ser>
        <c:dLbls>
          <c:showVal val="1"/>
        </c:dLbls>
        <c:axId val="98181120"/>
        <c:axId val="98182656"/>
      </c:barChart>
      <c:catAx>
        <c:axId val="98181120"/>
        <c:scaling>
          <c:orientation val="minMax"/>
        </c:scaling>
        <c:axPos val="b"/>
        <c:numFmt formatCode="General" sourceLinked="1"/>
        <c:majorTickMark val="in"/>
        <c:tickLblPos val="low"/>
        <c:spPr>
          <a:ln w="3154" cap="flat" cmpd="sng" algn="ctr">
            <a:solidFill>
              <a:srgbClr val="000000"/>
            </a:solidFill>
            <a:prstDash val="solid"/>
            <a:round/>
          </a:ln>
        </c:spPr>
        <c:txPr>
          <a:bodyPr rot="0" spcFirstLastPara="0" vertOverflow="ellipsis" vert="horz" wrap="square"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crossAx val="98182656"/>
        <c:crosses val="autoZero"/>
        <c:auto val="1"/>
        <c:lblAlgn val="ctr"/>
        <c:lblOffset val="100"/>
        <c:tickLblSkip val="1"/>
      </c:catAx>
      <c:valAx>
        <c:axId val="98182656"/>
        <c:scaling>
          <c:orientation val="minMax"/>
        </c:scaling>
        <c:axPos val="l"/>
        <c:majorGridlines>
          <c:spPr>
            <a:ln w="3154" cap="flat" cmpd="sng" algn="ctr">
              <a:solidFill>
                <a:srgbClr val="000000"/>
              </a:solidFill>
              <a:prstDash val="solid"/>
              <a:round/>
            </a:ln>
          </c:spPr>
        </c:majorGridlines>
        <c:numFmt formatCode="General" sourceLinked="1"/>
        <c:majorTickMark val="in"/>
        <c:tickLblPos val="nextTo"/>
        <c:spPr>
          <a:ln w="3154" cap="flat" cmpd="sng" algn="ctr">
            <a:solidFill>
              <a:srgbClr val="000000"/>
            </a:solidFill>
            <a:prstDash val="solid"/>
            <a:round/>
          </a:ln>
        </c:spPr>
        <c:txPr>
          <a:bodyPr rot="0" spcFirstLastPara="0" vertOverflow="ellipsis" vert="horz" wrap="square" anchor="ctr" anchorCtr="1"/>
          <a:lstStyle/>
          <a:p>
            <a:pPr>
              <a:defRPr lang="zh-CN" sz="1140" b="0" i="0" u="none" strike="noStrike" kern="1200" baseline="0">
                <a:solidFill>
                  <a:srgbClr val="000000"/>
                </a:solidFill>
                <a:latin typeface="宋体" charset="-122"/>
                <a:ea typeface="宋体" charset="-122"/>
                <a:cs typeface="宋体" charset="-122"/>
              </a:defRPr>
            </a:pPr>
            <a:endParaRPr lang="zh-CN"/>
          </a:p>
        </c:txPr>
        <c:crossAx val="9818112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656509695290859"/>
          <c:y val="0.41125541125541132"/>
          <c:w val="0.15235457063711888"/>
          <c:h val="0.17748917748917944"/>
        </c:manualLayout>
      </c:layout>
      <c:spPr>
        <a:noFill/>
        <a:ln w="3154">
          <a:solidFill>
            <a:srgbClr val="000000"/>
          </a:solidFill>
          <a:prstDash val="solid"/>
        </a:ln>
      </c:spPr>
      <c:txPr>
        <a:bodyPr rot="0" spcFirstLastPara="0" vertOverflow="ellipsis" vert="horz" wrap="square" anchor="ctr" anchorCtr="1"/>
        <a:lstStyle/>
        <a:p>
          <a:pPr>
            <a:defRPr lang="zh-CN" sz="1050" b="0" i="0" u="none" strike="noStrike" kern="1200" baseline="0">
              <a:solidFill>
                <a:srgbClr val="000000"/>
              </a:solidFill>
              <a:latin typeface="宋体" charset="-122"/>
              <a:ea typeface="宋体" charset="-122"/>
              <a:cs typeface="宋体" charset="-122"/>
            </a:defRPr>
          </a:pPr>
          <a:endParaRPr lang="zh-CN"/>
        </a:p>
      </c:txPr>
    </c:legend>
    <c:plotVisOnly val="1"/>
    <c:dispBlanksAs val="gap"/>
  </c:chart>
  <c:spPr>
    <a:noFill/>
    <a:ln w="9525" cap="flat" cmpd="sng" algn="ctr">
      <a:noFill/>
      <a:prstDash val="solid"/>
      <a:round/>
    </a:ln>
  </c:spPr>
  <c:txPr>
    <a:bodyPr/>
    <a:lstStyle/>
    <a:p>
      <a:pPr>
        <a:defRPr lang="zh-CN" sz="1140" b="0" i="0" u="none" strike="noStrike" baseline="0">
          <a:solidFill>
            <a:srgbClr val="000000"/>
          </a:solidFill>
          <a:latin typeface="宋体" charset="-122"/>
          <a:ea typeface="宋体" charset="-122"/>
          <a:cs typeface="宋体"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07982261640797"/>
          <c:y val="0.20883534136546641"/>
          <c:w val="0.32594235033259839"/>
          <c:h val="0.59036144578312422"/>
        </c:manualLayout>
      </c:layout>
      <c:pieChart>
        <c:varyColors val="1"/>
        <c:ser>
          <c:idx val="0"/>
          <c:order val="0"/>
          <c:tx>
            <c:strRef>
              <c:f>Sheet1!$A$2</c:f>
              <c:strCache>
                <c:ptCount val="1"/>
                <c:pt idx="0">
                  <c:v>2021年一般公共预算财政拨款支出决算</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Lbls>
            <c:dLbl>
              <c:idx val="1"/>
              <c:layout>
                <c:manualLayout>
                  <c:x val="-9.4798374029961205E-2"/>
                  <c:y val="0.14892761665997301"/>
                </c:manualLayout>
              </c:layout>
              <c:dLblPos val="bestFit"/>
              <c:showVal val="1"/>
              <c:showPercent val="1"/>
              <c:extLst>
                <c:ext xmlns:c15="http://schemas.microsoft.com/office/drawing/2012/chart" uri="{CE6537A1-D6FC-4f65-9D91-7224C49458BB}">
                  <c15:layout/>
                </c:ext>
              </c:extLst>
            </c:dLbl>
            <c:dLbl>
              <c:idx val="3"/>
              <c:layout>
                <c:manualLayout>
                  <c:x val="0.14081844282100348"/>
                  <c:y val="4.7747122799758222E-4"/>
                </c:manualLayout>
              </c:layout>
              <c:dLblPos val="bestFit"/>
              <c:showVal val="1"/>
              <c:showPercent val="1"/>
              <c:extLst>
                <c:ext xmlns:c15="http://schemas.microsoft.com/office/drawing/2012/chart" uri="{CE6537A1-D6FC-4f65-9D91-7224C49458BB}">
                  <c15:layout/>
                </c:ext>
              </c:extLst>
            </c:dLbl>
            <c:numFmt formatCode="0.00%" sourceLinked="0"/>
            <c:spPr>
              <a:noFill/>
              <a:ln w="25181">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charset="-122"/>
                    <a:ea typeface="宋体" charset="-122"/>
                    <a:cs typeface="宋体" charset="-122"/>
                  </a:defRPr>
                </a:pPr>
                <a:endParaRPr lang="zh-CN"/>
              </a:p>
            </c:txPr>
            <c:dLblPos val="bestFit"/>
            <c:showVal val="1"/>
            <c:showPercent val="1"/>
            <c:showLeaderLines val="1"/>
            <c:extLst>
              <c:ext xmlns:c15="http://schemas.microsoft.com/office/drawing/2012/chart" uri="{CE6537A1-D6FC-4f65-9D91-7224C49458BB}">
                <c15:layout/>
                <c15:showLeaderLines val="true"/>
                <c15:leaderLines/>
              </c:ext>
            </c:extLst>
          </c:dLbls>
          <c:cat>
            <c:strRef>
              <c:f>Sheet1!$B$1:$E$1</c:f>
              <c:strCache>
                <c:ptCount val="4"/>
                <c:pt idx="0">
                  <c:v>公共安全支出（类）</c:v>
                </c:pt>
                <c:pt idx="1">
                  <c:v>社会保障和就业支出（类）</c:v>
                </c:pt>
                <c:pt idx="2">
                  <c:v>卫生健康支出（类）</c:v>
                </c:pt>
                <c:pt idx="3">
                  <c:v>住房保障支出（类）</c:v>
                </c:pt>
              </c:strCache>
            </c:strRef>
          </c:cat>
          <c:val>
            <c:numRef>
              <c:f>Sheet1!$B$2:$E$2</c:f>
              <c:numCache>
                <c:formatCode>General</c:formatCode>
                <c:ptCount val="4"/>
                <c:pt idx="0">
                  <c:v>187.76999999999998</c:v>
                </c:pt>
                <c:pt idx="1">
                  <c:v>11.65</c:v>
                </c:pt>
                <c:pt idx="2">
                  <c:v>6.14</c:v>
                </c:pt>
                <c:pt idx="3">
                  <c:v>15.06</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217"/>
          <c:y val="4.2593922282125933E-2"/>
          <c:w val="0.33702882483371155"/>
          <c:h val="0.93140397635766858"/>
        </c:manualLayout>
      </c:layout>
      <c:spPr>
        <a:noFill/>
        <a:ln w="3148">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190" b="0" i="0" u="none" strike="noStrike" baseline="0">
          <a:solidFill>
            <a:srgbClr val="000000"/>
          </a:solidFill>
          <a:latin typeface="宋体" charset="-122"/>
          <a:ea typeface="宋体" charset="-122"/>
          <a:cs typeface="宋体" charset="-12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
          <c:y val="0.22831050228310487"/>
          <c:w val="0.31496062992126878"/>
          <c:h val="0.54794520547946213"/>
        </c:manualLayout>
      </c:layout>
      <c:pieChart>
        <c:varyColors val="1"/>
        <c:ser>
          <c:idx val="0"/>
          <c:order val="0"/>
          <c:tx>
            <c:strRef>
              <c:f>Sheet1!$A$2</c:f>
              <c:strCache>
                <c:ptCount val="1"/>
                <c:pt idx="0">
                  <c:v>2021年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0.33218927073368643"/>
                  <c:y val="-1.6705354467926543E-2"/>
                </c:manualLayout>
              </c:layout>
              <c:dLblPos val="bestFit"/>
              <c:showVal val="1"/>
              <c:showPercent val="1"/>
              <c:extLst>
                <c:ext xmlns:c15="http://schemas.microsoft.com/office/drawing/2012/chart" uri="{CE6537A1-D6FC-4f65-9D91-7224C49458BB}">
                  <c15:layout/>
                </c:ext>
              </c:extLst>
            </c:dLbl>
            <c:dLbl>
              <c:idx val="1"/>
              <c:layout>
                <c:manualLayout>
                  <c:x val="0.11978471892372802"/>
                  <c:y val="-0.11981310933287"/>
                </c:manualLayout>
              </c:layout>
              <c:dLblPos val="bestFit"/>
              <c:showVal val="1"/>
              <c:showPercent val="1"/>
              <c:extLst>
                <c:ext xmlns:c15="http://schemas.microsoft.com/office/drawing/2012/chart" uri="{CE6537A1-D6FC-4f65-9D91-7224C49458BB}">
                  <c15:layout/>
                </c:ext>
              </c:extLst>
            </c:dLbl>
            <c:dLbl>
              <c:idx val="2"/>
              <c:layout>
                <c:manualLayout>
                  <c:x val="-0.17024759330742356"/>
                  <c:y val="-3.6493078504600651E-2"/>
                </c:manualLayout>
              </c:layout>
              <c:dLblPos val="bestFit"/>
              <c:showVal val="1"/>
              <c:showPercent val="1"/>
              <c:extLst>
                <c:ext xmlns:c15="http://schemas.microsoft.com/office/drawing/2012/chart" uri="{CE6537A1-D6FC-4f65-9D91-7224C49458BB}">
                  <c15:layout/>
                </c:ext>
              </c:extLst>
            </c:dLbl>
            <c:numFmt formatCode="0.00%" sourceLinked="0"/>
            <c:spPr>
              <a:noFill/>
              <a:ln w="25259">
                <a:noFill/>
              </a:ln>
              <a:effectLst/>
            </c:spPr>
            <c:txPr>
              <a:bodyPr rot="0" spcFirstLastPara="0" vertOverflow="ellipsis" vert="horz" wrap="square" lIns="38100" tIns="19050" rIns="38100" bIns="19050" anchor="ctr" anchorCtr="1"/>
              <a:lstStyle/>
              <a:p>
                <a:pPr>
                  <a:defRPr lang="zh-CN" sz="1070" b="0" i="0" u="none" strike="noStrike" kern="1200" baseline="0">
                    <a:solidFill>
                      <a:srgbClr val="000000"/>
                    </a:solidFill>
                    <a:latin typeface="宋体" charset="-122"/>
                    <a:ea typeface="宋体" charset="-122"/>
                    <a:cs typeface="宋体" charset="-122"/>
                  </a:defRPr>
                </a:pPr>
                <a:endParaRPr lang="zh-CN"/>
              </a:p>
            </c:txPr>
            <c:dLblPos val="bestFit"/>
            <c:showVal val="1"/>
            <c:showPercent val="1"/>
            <c:showLeaderLines val="1"/>
            <c:extLst>
              <c:ext xmlns:c15="http://schemas.microsoft.com/office/drawing/2012/chart" uri="{CE6537A1-D6FC-4f65-9D91-7224C49458BB}">
                <c15:layout/>
                <c15:showLeaderLines val="true"/>
                <c15:leaderLines/>
              </c:ext>
            </c:extLst>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0</c:v>
                </c:pt>
                <c:pt idx="2">
                  <c:v>0</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1543"/>
          <c:y val="0.255707762557078"/>
          <c:w val="0.31680543755310131"/>
          <c:h val="0.44270584387814099"/>
        </c:manualLayout>
      </c:layout>
      <c:spPr>
        <a:noFill/>
        <a:ln w="3157">
          <a:solidFill>
            <a:srgbClr val="000000"/>
          </a:solidFill>
          <a:prstDash val="solid"/>
        </a:ln>
      </c:spPr>
      <c:txPr>
        <a:bodyPr rot="0" spcFirstLastPara="0" vertOverflow="ellipsis" vert="horz" wrap="square" anchor="ctr" anchorCtr="1"/>
        <a:lstStyle/>
        <a:p>
          <a:pPr>
            <a:defRPr lang="zh-CN" sz="980" b="0" i="0" u="none" strike="noStrike" kern="1200" baseline="0">
              <a:solidFill>
                <a:srgbClr val="000000"/>
              </a:solidFill>
              <a:latin typeface="宋体" charset="-122"/>
              <a:ea typeface="宋体" charset="-122"/>
              <a:cs typeface="宋体" charset="-122"/>
            </a:defRPr>
          </a:pPr>
          <a:endParaRPr lang="zh-CN"/>
        </a:p>
      </c:txPr>
    </c:legend>
    <c:plotVisOnly val="1"/>
    <c:dispBlanksAs val="zero"/>
  </c:chart>
  <c:spPr>
    <a:noFill/>
    <a:ln w="9525" cap="flat" cmpd="sng" algn="ctr">
      <a:noFill/>
      <a:prstDash val="solid"/>
      <a:round/>
    </a:ln>
  </c:spPr>
  <c:txPr>
    <a:bodyPr/>
    <a:lstStyle/>
    <a:p>
      <a:pPr>
        <a:defRPr lang="zh-CN" sz="1070" b="0" i="0" u="none" strike="noStrike" baseline="0">
          <a:solidFill>
            <a:srgbClr val="000000"/>
          </a:solidFill>
          <a:latin typeface="宋体" charset="-122"/>
          <a:ea typeface="宋体" charset="-122"/>
          <a:cs typeface="宋体" charset="-122"/>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6886</Words>
  <Characters>698</Characters>
  <Application>Microsoft Office Word</Application>
  <DocSecurity>0</DocSecurity>
  <Lines>5</Lines>
  <Paragraphs>15</Paragraphs>
  <ScaleCrop>false</ScaleCrop>
  <Company>四川省财政厅</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11</cp:revision>
  <cp:lastPrinted>2022-08-26T03:14:00Z</cp:lastPrinted>
  <dcterms:created xsi:type="dcterms:W3CDTF">2023-09-21T00:44:00Z</dcterms:created>
  <dcterms:modified xsi:type="dcterms:W3CDTF">2023-09-21T07:34:00Z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50C453BA4BAA4381ABD733D2613A83F3</vt:lpwstr>
  </property>
</Properties>
</file>